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43EFC" w14:textId="77777777" w:rsidR="004B34D9" w:rsidRPr="00224C6A" w:rsidRDefault="004B34D9" w:rsidP="004B34D9">
      <w:pPr>
        <w:pStyle w:val="Heading"/>
      </w:pPr>
      <w:r>
        <w:t>Student Fees and Charges Policy - 2025</w:t>
      </w:r>
    </w:p>
    <w:p w14:paraId="28A10BA3" w14:textId="77777777" w:rsidR="004B34D9" w:rsidRPr="00B83987" w:rsidRDefault="004B34D9" w:rsidP="004B34D9">
      <w:pPr>
        <w:spacing w:after="160"/>
        <w:rPr>
          <w:szCs w:val="32"/>
        </w:rPr>
      </w:pPr>
      <w:r w:rsidRPr="00B83987">
        <w:rPr>
          <w:szCs w:val="32"/>
        </w:rPr>
        <w:t xml:space="preserve">Policy purpose </w:t>
      </w:r>
    </w:p>
    <w:p w14:paraId="454827A2" w14:textId="77777777" w:rsidR="004B34D9" w:rsidRDefault="004B34D9" w:rsidP="004B34D9">
      <w:pPr>
        <w:pStyle w:val="Paragraph"/>
      </w:pPr>
      <w:r>
        <w:t>This document sets out the 2025</w:t>
      </w:r>
      <w:r w:rsidRPr="00BC202F">
        <w:t xml:space="preserve"> tuition fees and charges for North Regional TAFE</w:t>
      </w:r>
      <w:r>
        <w:t xml:space="preserve"> </w:t>
      </w:r>
      <w:r w:rsidRPr="00BC202F">
        <w:t>(NR</w:t>
      </w:r>
      <w:r>
        <w:t xml:space="preserve"> </w:t>
      </w:r>
      <w:r w:rsidRPr="00BC202F">
        <w:t>T</w:t>
      </w:r>
      <w:r>
        <w:t>AFE</w:t>
      </w:r>
      <w:r w:rsidRPr="00BC202F">
        <w:t>). NR</w:t>
      </w:r>
      <w:r>
        <w:t xml:space="preserve"> </w:t>
      </w:r>
      <w:r w:rsidRPr="00BC202F">
        <w:t>T</w:t>
      </w:r>
      <w:r>
        <w:t>AFE</w:t>
      </w:r>
      <w:r w:rsidRPr="00BC202F">
        <w:t xml:space="preserve"> fees are determined by the Department of Training and Workforce Development (DTWD), and should be read in conjunction with the </w:t>
      </w:r>
      <w:hyperlink r:id="rId13" w:history="1">
        <w:r w:rsidRPr="00BC202F">
          <w:t>Vocational Education and Training (VET) Fees and Charges Policy 20</w:t>
        </w:r>
      </w:hyperlink>
      <w:r>
        <w:t>25</w:t>
      </w:r>
      <w:r w:rsidRPr="00BC202F">
        <w:t xml:space="preserve">. </w:t>
      </w:r>
      <w:r>
        <w:t xml:space="preserve"> S</w:t>
      </w:r>
      <w:r w:rsidRPr="00BC202F">
        <w:t xml:space="preserve">tudent </w:t>
      </w:r>
      <w:r>
        <w:t>f</w:t>
      </w:r>
      <w:r w:rsidRPr="00BC202F">
        <w:t xml:space="preserve">ees and </w:t>
      </w:r>
      <w:r>
        <w:t>c</w:t>
      </w:r>
      <w:r w:rsidRPr="00BC202F">
        <w:t xml:space="preserve">harges are approved by </w:t>
      </w:r>
      <w:proofErr w:type="gramStart"/>
      <w:r w:rsidRPr="00BC202F">
        <w:t>Governing</w:t>
      </w:r>
      <w:proofErr w:type="gramEnd"/>
      <w:r w:rsidRPr="00BC202F">
        <w:t xml:space="preserve"> Council.</w:t>
      </w:r>
    </w:p>
    <w:p w14:paraId="7C254D43" w14:textId="77777777" w:rsidR="004B34D9" w:rsidRPr="00BC202F" w:rsidRDefault="004B34D9" w:rsidP="004B34D9">
      <w:pPr>
        <w:pStyle w:val="Paragraph"/>
      </w:pPr>
    </w:p>
    <w:p w14:paraId="3E11F442" w14:textId="77777777" w:rsidR="004B34D9" w:rsidRPr="00BC202F" w:rsidRDefault="004B34D9" w:rsidP="004B34D9">
      <w:pPr>
        <w:pStyle w:val="Paragraph"/>
        <w:spacing w:after="120"/>
      </w:pPr>
      <w:r w:rsidRPr="00BC202F">
        <w:t xml:space="preserve">This policy is reviewed and updated annually to reflect </w:t>
      </w:r>
      <w:r>
        <w:t>s</w:t>
      </w:r>
      <w:r w:rsidRPr="00BC202F">
        <w:t xml:space="preserve">tate </w:t>
      </w:r>
      <w:r>
        <w:t>g</w:t>
      </w:r>
      <w:r w:rsidRPr="00BC202F">
        <w:t>overnment changes and Delivery and Performance Agreement requirements.</w:t>
      </w:r>
    </w:p>
    <w:p w14:paraId="51D457A0" w14:textId="77777777" w:rsidR="004B34D9" w:rsidRPr="008143DF" w:rsidRDefault="004B34D9" w:rsidP="004B34D9">
      <w:pPr>
        <w:spacing w:after="160"/>
      </w:pPr>
      <w:r>
        <w:t>Policy scope</w:t>
      </w:r>
    </w:p>
    <w:p w14:paraId="5A32722F" w14:textId="77777777" w:rsidR="004B34D9" w:rsidRPr="00BC202F" w:rsidRDefault="004B34D9" w:rsidP="004B34D9">
      <w:pPr>
        <w:pStyle w:val="Paragraph"/>
      </w:pPr>
      <w:r w:rsidRPr="00BC202F">
        <w:t>This policy applies to all student fees and charges related to training delivered by NR</w:t>
      </w:r>
      <w:r>
        <w:t xml:space="preserve"> </w:t>
      </w:r>
      <w:r w:rsidRPr="00BC202F">
        <w:t>T</w:t>
      </w:r>
      <w:r>
        <w:t>AFE</w:t>
      </w:r>
      <w:r w:rsidRPr="00BC202F">
        <w:t>, and include</w:t>
      </w:r>
      <w:r>
        <w:t>s</w:t>
      </w:r>
      <w:r w:rsidRPr="00BC202F">
        <w:t xml:space="preserve"> fees and charges for the following:</w:t>
      </w:r>
    </w:p>
    <w:p w14:paraId="5C5365D7" w14:textId="77777777" w:rsidR="004B34D9" w:rsidRPr="00BC202F" w:rsidRDefault="004B34D9" w:rsidP="004B34D9">
      <w:pPr>
        <w:pStyle w:val="Bullet1"/>
        <w:numPr>
          <w:ilvl w:val="0"/>
          <w:numId w:val="10"/>
        </w:numPr>
        <w:spacing w:after="120" w:line="264" w:lineRule="auto"/>
        <w:ind w:left="284"/>
        <w:contextualSpacing/>
      </w:pPr>
      <w:r w:rsidRPr="00BC202F">
        <w:t>Profile courses, including individual units and modules</w:t>
      </w:r>
    </w:p>
    <w:p w14:paraId="0676D11C" w14:textId="77777777" w:rsidR="004B34D9" w:rsidRPr="00BC202F" w:rsidRDefault="004B34D9" w:rsidP="004B34D9">
      <w:pPr>
        <w:pStyle w:val="Bullet1"/>
        <w:numPr>
          <w:ilvl w:val="0"/>
          <w:numId w:val="10"/>
        </w:numPr>
        <w:spacing w:after="120" w:line="264" w:lineRule="auto"/>
        <w:ind w:left="284"/>
        <w:contextualSpacing/>
      </w:pPr>
      <w:r w:rsidRPr="00BC202F">
        <w:t>Apprentices and trainees</w:t>
      </w:r>
    </w:p>
    <w:p w14:paraId="1740D725" w14:textId="77777777" w:rsidR="004B34D9" w:rsidRPr="00BC202F" w:rsidRDefault="004B34D9" w:rsidP="004B34D9">
      <w:pPr>
        <w:pStyle w:val="Bullet1"/>
        <w:numPr>
          <w:ilvl w:val="0"/>
          <w:numId w:val="10"/>
        </w:numPr>
        <w:spacing w:after="120" w:line="264" w:lineRule="auto"/>
        <w:ind w:left="284"/>
        <w:contextualSpacing/>
      </w:pPr>
      <w:r>
        <w:t>S</w:t>
      </w:r>
      <w:r w:rsidRPr="00BC202F">
        <w:t>kill sets</w:t>
      </w:r>
    </w:p>
    <w:p w14:paraId="2D8A7438" w14:textId="77777777" w:rsidR="004B34D9" w:rsidRPr="00BC202F" w:rsidRDefault="004B34D9" w:rsidP="004B34D9">
      <w:pPr>
        <w:pStyle w:val="Bullet1"/>
        <w:numPr>
          <w:ilvl w:val="0"/>
          <w:numId w:val="10"/>
        </w:numPr>
        <w:spacing w:after="120" w:line="264" w:lineRule="auto"/>
        <w:ind w:left="284"/>
        <w:contextualSpacing/>
      </w:pPr>
      <w:r w:rsidRPr="00BC202F">
        <w:t>Commercial delivery</w:t>
      </w:r>
    </w:p>
    <w:p w14:paraId="339950A7" w14:textId="77777777" w:rsidR="004B34D9" w:rsidRPr="00BC202F" w:rsidRDefault="004B34D9" w:rsidP="004B34D9">
      <w:pPr>
        <w:pStyle w:val="Bullet1"/>
        <w:numPr>
          <w:ilvl w:val="0"/>
          <w:numId w:val="10"/>
        </w:numPr>
        <w:spacing w:after="120" w:line="264" w:lineRule="auto"/>
        <w:ind w:left="284"/>
        <w:contextualSpacing/>
      </w:pPr>
      <w:r w:rsidRPr="00BC202F">
        <w:t>Recognition of Prior Learning (RPL)</w:t>
      </w:r>
      <w:r>
        <w:t>.</w:t>
      </w:r>
    </w:p>
    <w:p w14:paraId="1BB7D503" w14:textId="77777777" w:rsidR="004B34D9" w:rsidRPr="008143DF" w:rsidRDefault="004B34D9" w:rsidP="004B34D9">
      <w:pPr>
        <w:spacing w:after="160"/>
      </w:pPr>
      <w:r>
        <w:t>Definitions</w:t>
      </w:r>
    </w:p>
    <w:p w14:paraId="76738C5C" w14:textId="77777777" w:rsidR="004B34D9" w:rsidRDefault="004B34D9" w:rsidP="004B34D9">
      <w:pPr>
        <w:pStyle w:val="Paragraph"/>
      </w:pPr>
      <w:r w:rsidRPr="00BC202F">
        <w:t>The following definitions apply in this document:</w:t>
      </w:r>
    </w:p>
    <w:tbl>
      <w:tblPr>
        <w:tblStyle w:val="TableGrid"/>
        <w:tblW w:w="10632" w:type="dxa"/>
        <w:tblInd w:w="-113" w:type="dxa"/>
        <w:tblLook w:val="04A0" w:firstRow="1" w:lastRow="0" w:firstColumn="1" w:lastColumn="0" w:noHBand="0" w:noVBand="1"/>
      </w:tblPr>
      <w:tblGrid>
        <w:gridCol w:w="2093"/>
        <w:gridCol w:w="8539"/>
      </w:tblGrid>
      <w:tr w:rsidR="004B34D9" w14:paraId="43F4F627" w14:textId="77777777" w:rsidTr="00BA7010">
        <w:tc>
          <w:tcPr>
            <w:tcW w:w="2093" w:type="dxa"/>
          </w:tcPr>
          <w:p w14:paraId="49DC8F12" w14:textId="77777777" w:rsidR="004B34D9" w:rsidRDefault="004B34D9" w:rsidP="00BA7010">
            <w:pPr>
              <w:pStyle w:val="Paragraph"/>
              <w:spacing w:after="160" w:line="240" w:lineRule="auto"/>
            </w:pPr>
            <w:r w:rsidRPr="00BE6164">
              <w:rPr>
                <w:b/>
              </w:rPr>
              <w:t>Commercial</w:t>
            </w:r>
          </w:p>
        </w:tc>
        <w:tc>
          <w:tcPr>
            <w:tcW w:w="8539" w:type="dxa"/>
          </w:tcPr>
          <w:p w14:paraId="2D6983E0" w14:textId="77777777" w:rsidR="004B34D9" w:rsidRPr="00087F47" w:rsidRDefault="004B34D9" w:rsidP="00BA7010">
            <w:pPr>
              <w:pStyle w:val="Definitions"/>
              <w:spacing w:after="0" w:line="240" w:lineRule="auto"/>
              <w:ind w:left="0" w:firstLine="0"/>
              <w:rPr>
                <w:rFonts w:cs="Arial"/>
                <w:sz w:val="22"/>
                <w:szCs w:val="22"/>
              </w:rPr>
            </w:pPr>
            <w:r w:rsidRPr="00087F47">
              <w:rPr>
                <w:rFonts w:cs="Arial"/>
                <w:sz w:val="22"/>
                <w:szCs w:val="22"/>
              </w:rPr>
              <w:t>Delivery of training or training-related services, which is funded only by fees paid by the participant or organisation requesting the training, i.e. not State Government, subsidised.</w:t>
            </w:r>
          </w:p>
        </w:tc>
      </w:tr>
      <w:tr w:rsidR="004B34D9" w14:paraId="6807CE07" w14:textId="77777777" w:rsidTr="00BA7010">
        <w:tc>
          <w:tcPr>
            <w:tcW w:w="2093" w:type="dxa"/>
          </w:tcPr>
          <w:p w14:paraId="2793FE7A" w14:textId="77777777" w:rsidR="004B34D9" w:rsidRDefault="004B34D9" w:rsidP="00BA7010">
            <w:pPr>
              <w:pStyle w:val="Paragraph"/>
              <w:spacing w:after="160" w:line="240" w:lineRule="auto"/>
            </w:pPr>
            <w:r w:rsidRPr="00BE6164">
              <w:rPr>
                <w:b/>
              </w:rPr>
              <w:t>Course fees</w:t>
            </w:r>
          </w:p>
        </w:tc>
        <w:tc>
          <w:tcPr>
            <w:tcW w:w="8539" w:type="dxa"/>
          </w:tcPr>
          <w:p w14:paraId="73964CA8" w14:textId="77777777" w:rsidR="004B34D9" w:rsidRPr="00087F47" w:rsidRDefault="004B34D9" w:rsidP="00BA7010">
            <w:pPr>
              <w:pStyle w:val="Definitions"/>
              <w:spacing w:after="0" w:line="240" w:lineRule="auto"/>
              <w:ind w:left="0" w:firstLine="0"/>
              <w:rPr>
                <w:rFonts w:cs="Arial"/>
                <w:sz w:val="22"/>
                <w:szCs w:val="22"/>
              </w:rPr>
            </w:pPr>
            <w:r w:rsidRPr="00087F47">
              <w:rPr>
                <w:rFonts w:cs="Arial"/>
                <w:sz w:val="22"/>
                <w:szCs w:val="22"/>
              </w:rPr>
              <w:t>Fees which contribute to the cost of training delivery, and which are supplemented by state government funding.</w:t>
            </w:r>
          </w:p>
        </w:tc>
      </w:tr>
      <w:tr w:rsidR="004B34D9" w14:paraId="615980A3" w14:textId="77777777" w:rsidTr="00BA7010">
        <w:tc>
          <w:tcPr>
            <w:tcW w:w="2093" w:type="dxa"/>
          </w:tcPr>
          <w:p w14:paraId="0E77CC45" w14:textId="77777777" w:rsidR="004B34D9" w:rsidRPr="00BE6164" w:rsidRDefault="004B34D9" w:rsidP="00BA7010">
            <w:pPr>
              <w:pStyle w:val="Paragraph"/>
              <w:spacing w:after="160" w:line="240" w:lineRule="auto"/>
              <w:rPr>
                <w:b/>
              </w:rPr>
            </w:pPr>
            <w:r w:rsidRPr="00BE6164">
              <w:rPr>
                <w:b/>
              </w:rPr>
              <w:t>Incidental fees</w:t>
            </w:r>
          </w:p>
        </w:tc>
        <w:tc>
          <w:tcPr>
            <w:tcW w:w="8539" w:type="dxa"/>
          </w:tcPr>
          <w:p w14:paraId="24E431DC" w14:textId="77777777" w:rsidR="004B34D9" w:rsidRPr="00087F47" w:rsidRDefault="004B34D9" w:rsidP="00BA7010">
            <w:pPr>
              <w:pStyle w:val="Paragraph"/>
              <w:spacing w:after="160" w:line="240" w:lineRule="auto"/>
              <w:rPr>
                <w:i/>
              </w:rPr>
            </w:pPr>
            <w:r w:rsidRPr="00087F47">
              <w:rPr>
                <w:i/>
              </w:rPr>
              <w:t>Additional fees as specified in this policy.</w:t>
            </w:r>
          </w:p>
        </w:tc>
      </w:tr>
      <w:tr w:rsidR="004B34D9" w14:paraId="11D8BBE6" w14:textId="77777777" w:rsidTr="00BA7010">
        <w:tc>
          <w:tcPr>
            <w:tcW w:w="2093" w:type="dxa"/>
          </w:tcPr>
          <w:p w14:paraId="41A8E480" w14:textId="77777777" w:rsidR="004B34D9" w:rsidRPr="00BE6164" w:rsidRDefault="004B34D9" w:rsidP="00BA7010">
            <w:pPr>
              <w:pStyle w:val="Paragraph"/>
              <w:spacing w:after="160" w:line="240" w:lineRule="auto"/>
              <w:rPr>
                <w:b/>
              </w:rPr>
            </w:pPr>
            <w:r w:rsidRPr="00BE6164">
              <w:rPr>
                <w:b/>
              </w:rPr>
              <w:t>Other fees</w:t>
            </w:r>
          </w:p>
        </w:tc>
        <w:tc>
          <w:tcPr>
            <w:tcW w:w="8539" w:type="dxa"/>
          </w:tcPr>
          <w:p w14:paraId="0752E2F0" w14:textId="77777777" w:rsidR="004B34D9" w:rsidRPr="00087F47" w:rsidRDefault="004B34D9" w:rsidP="00BA7010">
            <w:pPr>
              <w:pStyle w:val="Definitions"/>
              <w:spacing w:after="0" w:line="240" w:lineRule="auto"/>
              <w:ind w:left="0" w:firstLine="0"/>
              <w:rPr>
                <w:rFonts w:cs="Arial"/>
                <w:sz w:val="22"/>
                <w:szCs w:val="22"/>
              </w:rPr>
            </w:pPr>
            <w:r w:rsidRPr="00087F47">
              <w:rPr>
                <w:rFonts w:cs="Arial"/>
                <w:sz w:val="22"/>
                <w:szCs w:val="22"/>
              </w:rPr>
              <w:t>Non-essential goods and services or goods and services that can be obtained in another way or from another supplier.</w:t>
            </w:r>
          </w:p>
        </w:tc>
      </w:tr>
      <w:tr w:rsidR="004B34D9" w14:paraId="174B3B33" w14:textId="77777777" w:rsidTr="00BA7010">
        <w:tc>
          <w:tcPr>
            <w:tcW w:w="2093" w:type="dxa"/>
          </w:tcPr>
          <w:p w14:paraId="42AD2E90" w14:textId="77777777" w:rsidR="004B34D9" w:rsidRPr="00BE6164" w:rsidRDefault="004B34D9" w:rsidP="00BA7010">
            <w:pPr>
              <w:pStyle w:val="Paragraph"/>
              <w:spacing w:after="160" w:line="240" w:lineRule="auto"/>
              <w:rPr>
                <w:b/>
              </w:rPr>
            </w:pPr>
            <w:r w:rsidRPr="00BE6164">
              <w:rPr>
                <w:b/>
              </w:rPr>
              <w:t>Profile course</w:t>
            </w:r>
          </w:p>
        </w:tc>
        <w:tc>
          <w:tcPr>
            <w:tcW w:w="8539" w:type="dxa"/>
          </w:tcPr>
          <w:p w14:paraId="08E01326" w14:textId="77777777" w:rsidR="004B34D9" w:rsidRPr="00087F47" w:rsidRDefault="004B34D9" w:rsidP="00BA7010">
            <w:pPr>
              <w:pStyle w:val="Paragraph"/>
              <w:spacing w:after="160" w:line="240" w:lineRule="auto"/>
              <w:rPr>
                <w:i/>
              </w:rPr>
            </w:pPr>
            <w:r w:rsidRPr="00087F47">
              <w:rPr>
                <w:i/>
              </w:rPr>
              <w:t>A course, which is subsidised by the state government.</w:t>
            </w:r>
          </w:p>
        </w:tc>
      </w:tr>
      <w:tr w:rsidR="004B34D9" w14:paraId="6D9E8AC6" w14:textId="77777777" w:rsidTr="00BA7010">
        <w:tc>
          <w:tcPr>
            <w:tcW w:w="2093" w:type="dxa"/>
          </w:tcPr>
          <w:p w14:paraId="3C2AD551" w14:textId="77777777" w:rsidR="004B34D9" w:rsidRPr="00BE6164" w:rsidRDefault="004B34D9" w:rsidP="00BA7010">
            <w:pPr>
              <w:pStyle w:val="Paragraph"/>
              <w:spacing w:after="160" w:line="240" w:lineRule="auto"/>
              <w:rPr>
                <w:b/>
              </w:rPr>
            </w:pPr>
            <w:r w:rsidRPr="00BE6164">
              <w:rPr>
                <w:b/>
              </w:rPr>
              <w:t>Resource fees</w:t>
            </w:r>
          </w:p>
        </w:tc>
        <w:tc>
          <w:tcPr>
            <w:tcW w:w="8539" w:type="dxa"/>
          </w:tcPr>
          <w:p w14:paraId="52464A55" w14:textId="77777777" w:rsidR="004B34D9" w:rsidRPr="00087F47" w:rsidRDefault="004B34D9" w:rsidP="00BA7010">
            <w:pPr>
              <w:pStyle w:val="Definitions"/>
              <w:spacing w:after="0" w:line="240" w:lineRule="auto"/>
              <w:ind w:left="0" w:firstLine="0"/>
              <w:rPr>
                <w:rFonts w:cs="Arial"/>
                <w:sz w:val="22"/>
                <w:szCs w:val="22"/>
              </w:rPr>
            </w:pPr>
            <w:r w:rsidRPr="00087F47">
              <w:rPr>
                <w:rFonts w:cs="Arial"/>
                <w:sz w:val="22"/>
                <w:szCs w:val="22"/>
              </w:rPr>
              <w:t xml:space="preserve">Fees for materials purchased by the College to be consumed or transformed by students </w:t>
            </w:r>
            <w:proofErr w:type="gramStart"/>
            <w:r w:rsidRPr="00087F47">
              <w:rPr>
                <w:rFonts w:cs="Arial"/>
                <w:sz w:val="22"/>
                <w:szCs w:val="22"/>
              </w:rPr>
              <w:t>in the course of</w:t>
            </w:r>
            <w:proofErr w:type="gramEnd"/>
            <w:r w:rsidRPr="00087F47">
              <w:rPr>
                <w:rFonts w:cs="Arial"/>
                <w:sz w:val="22"/>
                <w:szCs w:val="22"/>
              </w:rPr>
              <w:t xml:space="preserve"> training.</w:t>
            </w:r>
          </w:p>
        </w:tc>
      </w:tr>
      <w:tr w:rsidR="004B34D9" w14:paraId="0317B803" w14:textId="77777777" w:rsidTr="00BA7010">
        <w:tc>
          <w:tcPr>
            <w:tcW w:w="2093" w:type="dxa"/>
          </w:tcPr>
          <w:p w14:paraId="763EBD58" w14:textId="77777777" w:rsidR="004B34D9" w:rsidRPr="00BE6164" w:rsidRDefault="004B34D9" w:rsidP="00BA7010">
            <w:pPr>
              <w:pStyle w:val="Paragraph"/>
              <w:spacing w:after="160" w:line="240" w:lineRule="auto"/>
              <w:rPr>
                <w:b/>
              </w:rPr>
            </w:pPr>
            <w:r w:rsidRPr="00BE6164">
              <w:rPr>
                <w:b/>
              </w:rPr>
              <w:t>Semester</w:t>
            </w:r>
          </w:p>
        </w:tc>
        <w:tc>
          <w:tcPr>
            <w:tcW w:w="8539" w:type="dxa"/>
          </w:tcPr>
          <w:p w14:paraId="5FF2DD11" w14:textId="77777777" w:rsidR="004B34D9" w:rsidRPr="00087F47" w:rsidRDefault="004B34D9" w:rsidP="00BA7010">
            <w:pPr>
              <w:pStyle w:val="Definitions"/>
              <w:spacing w:after="0" w:line="240" w:lineRule="auto"/>
              <w:ind w:left="0" w:firstLine="0"/>
              <w:rPr>
                <w:rFonts w:cs="Arial"/>
                <w:sz w:val="22"/>
                <w:szCs w:val="22"/>
              </w:rPr>
            </w:pPr>
            <w:proofErr w:type="gramStart"/>
            <w:r w:rsidRPr="00087F47">
              <w:rPr>
                <w:rFonts w:cs="Arial"/>
                <w:sz w:val="22"/>
                <w:szCs w:val="22"/>
              </w:rPr>
              <w:t>A six</w:t>
            </w:r>
            <w:proofErr w:type="gramEnd"/>
            <w:r w:rsidRPr="00087F47">
              <w:rPr>
                <w:rFonts w:cs="Arial"/>
                <w:sz w:val="22"/>
                <w:szCs w:val="22"/>
              </w:rPr>
              <w:t>-month period that contains the study start date of a unit.</w:t>
            </w:r>
          </w:p>
        </w:tc>
      </w:tr>
      <w:tr w:rsidR="004B34D9" w14:paraId="62707603" w14:textId="77777777" w:rsidTr="00BA7010">
        <w:tc>
          <w:tcPr>
            <w:tcW w:w="2093" w:type="dxa"/>
          </w:tcPr>
          <w:p w14:paraId="3FFAEE9B" w14:textId="77777777" w:rsidR="004B34D9" w:rsidRPr="00BE6164" w:rsidRDefault="004B34D9" w:rsidP="00BA7010">
            <w:pPr>
              <w:pStyle w:val="Paragraph"/>
              <w:spacing w:after="160" w:line="240" w:lineRule="auto"/>
              <w:rPr>
                <w:b/>
              </w:rPr>
            </w:pPr>
            <w:r w:rsidRPr="00BE6164">
              <w:rPr>
                <w:b/>
              </w:rPr>
              <w:t>Skill set</w:t>
            </w:r>
          </w:p>
        </w:tc>
        <w:tc>
          <w:tcPr>
            <w:tcW w:w="8539" w:type="dxa"/>
          </w:tcPr>
          <w:p w14:paraId="18A08DE6" w14:textId="77777777" w:rsidR="004B34D9" w:rsidRPr="00087F47" w:rsidRDefault="004B34D9" w:rsidP="00BA7010">
            <w:pPr>
              <w:pStyle w:val="Definitions"/>
              <w:spacing w:after="0" w:line="240" w:lineRule="auto"/>
              <w:ind w:left="0" w:firstLine="0"/>
              <w:rPr>
                <w:rFonts w:cs="Arial"/>
                <w:sz w:val="22"/>
                <w:szCs w:val="22"/>
              </w:rPr>
            </w:pPr>
            <w:r w:rsidRPr="00087F47">
              <w:rPr>
                <w:rFonts w:cs="Arial"/>
                <w:sz w:val="22"/>
                <w:szCs w:val="22"/>
              </w:rPr>
              <w:t xml:space="preserve">A combination of accredited Units of Competency; Skill set includes non-accredited courses.  Skill sets may be profile or commercial fees. </w:t>
            </w:r>
          </w:p>
        </w:tc>
      </w:tr>
      <w:tr w:rsidR="004B34D9" w14:paraId="7AA8A06B" w14:textId="77777777" w:rsidTr="00BA7010">
        <w:tc>
          <w:tcPr>
            <w:tcW w:w="2093" w:type="dxa"/>
          </w:tcPr>
          <w:p w14:paraId="0F6C398B" w14:textId="77777777" w:rsidR="004B34D9" w:rsidRPr="00BE6164" w:rsidRDefault="004B34D9" w:rsidP="00BA7010">
            <w:pPr>
              <w:pStyle w:val="Paragraph"/>
              <w:spacing w:after="160" w:line="240" w:lineRule="auto"/>
              <w:rPr>
                <w:b/>
              </w:rPr>
            </w:pPr>
            <w:r>
              <w:rPr>
                <w:b/>
              </w:rPr>
              <w:t>FEE-FREE</w:t>
            </w:r>
          </w:p>
        </w:tc>
        <w:tc>
          <w:tcPr>
            <w:tcW w:w="8539" w:type="dxa"/>
          </w:tcPr>
          <w:p w14:paraId="45E844EA" w14:textId="77777777" w:rsidR="004B34D9" w:rsidRPr="00087F47" w:rsidRDefault="004B34D9" w:rsidP="00BA7010">
            <w:pPr>
              <w:pStyle w:val="Definitions"/>
              <w:spacing w:after="0" w:line="240" w:lineRule="auto"/>
              <w:ind w:left="0" w:firstLine="0"/>
              <w:rPr>
                <w:bCs/>
                <w:sz w:val="22"/>
                <w:szCs w:val="22"/>
              </w:rPr>
            </w:pPr>
            <w:proofErr w:type="gramStart"/>
            <w:r w:rsidRPr="00087F47">
              <w:rPr>
                <w:bCs/>
                <w:sz w:val="22"/>
                <w:szCs w:val="22"/>
              </w:rPr>
              <w:t>Means</w:t>
            </w:r>
            <w:proofErr w:type="gramEnd"/>
            <w:r w:rsidRPr="00087F47">
              <w:rPr>
                <w:bCs/>
                <w:sz w:val="22"/>
                <w:szCs w:val="22"/>
              </w:rPr>
              <w:t xml:space="preserve"> the program provides a range of skill sets and qualifications that have been determined as a priority and are delivered fee-free for all students under </w:t>
            </w:r>
            <w:proofErr w:type="gramStart"/>
            <w:r w:rsidRPr="00087F47">
              <w:rPr>
                <w:bCs/>
                <w:sz w:val="22"/>
                <w:szCs w:val="22"/>
              </w:rPr>
              <w:t>a joint partnership</w:t>
            </w:r>
            <w:proofErr w:type="gramEnd"/>
            <w:r w:rsidRPr="00087F47">
              <w:rPr>
                <w:bCs/>
                <w:sz w:val="22"/>
                <w:szCs w:val="22"/>
              </w:rPr>
              <w:t xml:space="preserve"> with the Commonwealth Government.</w:t>
            </w:r>
          </w:p>
        </w:tc>
      </w:tr>
      <w:tr w:rsidR="004B34D9" w14:paraId="55B251F7" w14:textId="77777777" w:rsidTr="00BA7010">
        <w:tc>
          <w:tcPr>
            <w:tcW w:w="2093" w:type="dxa"/>
          </w:tcPr>
          <w:p w14:paraId="321F19CA" w14:textId="77777777" w:rsidR="004B34D9" w:rsidRDefault="004B34D9" w:rsidP="00BA7010">
            <w:pPr>
              <w:pStyle w:val="Paragraph"/>
              <w:spacing w:after="160" w:line="240" w:lineRule="auto"/>
              <w:rPr>
                <w:b/>
              </w:rPr>
            </w:pPr>
            <w:r>
              <w:rPr>
                <w:b/>
              </w:rPr>
              <w:t>Census date</w:t>
            </w:r>
          </w:p>
        </w:tc>
        <w:tc>
          <w:tcPr>
            <w:tcW w:w="8539" w:type="dxa"/>
          </w:tcPr>
          <w:p w14:paraId="6E2D2A07" w14:textId="77777777" w:rsidR="004B34D9" w:rsidRPr="00087F47" w:rsidRDefault="004B34D9" w:rsidP="00BA7010">
            <w:pPr>
              <w:pStyle w:val="Definitions"/>
              <w:tabs>
                <w:tab w:val="left" w:pos="2295"/>
              </w:tabs>
              <w:spacing w:after="0" w:line="240" w:lineRule="auto"/>
              <w:ind w:left="0" w:firstLine="0"/>
              <w:rPr>
                <w:b/>
                <w:sz w:val="22"/>
                <w:szCs w:val="22"/>
              </w:rPr>
            </w:pPr>
            <w:r w:rsidRPr="00087F47">
              <w:rPr>
                <w:bCs/>
                <w:sz w:val="22"/>
                <w:szCs w:val="22"/>
              </w:rPr>
              <w:t>The official date for a unit after which VET Student Loan (VSL) students incur financial liability or fee-paying students are not entitled to a full refund of the course fee upon withdrawal.</w:t>
            </w:r>
          </w:p>
        </w:tc>
      </w:tr>
      <w:tr w:rsidR="004B34D9" w14:paraId="15F949D5" w14:textId="77777777" w:rsidTr="00BA7010">
        <w:tc>
          <w:tcPr>
            <w:tcW w:w="2093" w:type="dxa"/>
          </w:tcPr>
          <w:p w14:paraId="34FF61A6" w14:textId="77777777" w:rsidR="004B34D9" w:rsidRDefault="004B34D9" w:rsidP="00BA7010">
            <w:pPr>
              <w:pStyle w:val="Paragraph"/>
              <w:spacing w:after="160" w:line="240" w:lineRule="auto"/>
              <w:rPr>
                <w:b/>
              </w:rPr>
            </w:pPr>
            <w:r w:rsidRPr="00BE6164">
              <w:rPr>
                <w:b/>
              </w:rPr>
              <w:t>Tuition fee</w:t>
            </w:r>
          </w:p>
        </w:tc>
        <w:tc>
          <w:tcPr>
            <w:tcW w:w="8539" w:type="dxa"/>
          </w:tcPr>
          <w:p w14:paraId="4451ECE1" w14:textId="77777777" w:rsidR="004B34D9" w:rsidRPr="00087F47" w:rsidRDefault="004B34D9" w:rsidP="00BA7010">
            <w:pPr>
              <w:pStyle w:val="Definitions"/>
              <w:tabs>
                <w:tab w:val="left" w:pos="2295"/>
              </w:tabs>
              <w:spacing w:after="0" w:line="240" w:lineRule="auto"/>
              <w:ind w:left="0" w:firstLine="0"/>
              <w:rPr>
                <w:bCs/>
                <w:sz w:val="22"/>
                <w:szCs w:val="22"/>
              </w:rPr>
            </w:pPr>
            <w:r w:rsidRPr="00087F47">
              <w:rPr>
                <w:sz w:val="22"/>
                <w:szCs w:val="22"/>
              </w:rPr>
              <w:t>Course fees and resource fees.</w:t>
            </w:r>
          </w:p>
        </w:tc>
      </w:tr>
      <w:tr w:rsidR="004B34D9" w14:paraId="44BBB55A" w14:textId="77777777" w:rsidTr="00BA7010">
        <w:tc>
          <w:tcPr>
            <w:tcW w:w="2093" w:type="dxa"/>
          </w:tcPr>
          <w:p w14:paraId="17923EE8" w14:textId="77777777" w:rsidR="004B34D9" w:rsidRPr="00BE6164" w:rsidRDefault="004B34D9" w:rsidP="00BA7010">
            <w:pPr>
              <w:pStyle w:val="Paragraph"/>
              <w:spacing w:after="160" w:line="240" w:lineRule="auto"/>
              <w:rPr>
                <w:b/>
              </w:rPr>
            </w:pPr>
            <w:r w:rsidRPr="00BE6164">
              <w:rPr>
                <w:b/>
              </w:rPr>
              <w:t>Unit</w:t>
            </w:r>
          </w:p>
        </w:tc>
        <w:tc>
          <w:tcPr>
            <w:tcW w:w="8539" w:type="dxa"/>
          </w:tcPr>
          <w:p w14:paraId="60840B8B" w14:textId="77777777" w:rsidR="004B34D9" w:rsidRPr="00087F47" w:rsidRDefault="004B34D9" w:rsidP="00BA7010">
            <w:pPr>
              <w:pStyle w:val="Definitions"/>
              <w:tabs>
                <w:tab w:val="left" w:pos="2295"/>
              </w:tabs>
              <w:spacing w:after="0" w:line="240" w:lineRule="auto"/>
              <w:ind w:left="0" w:firstLine="0"/>
              <w:rPr>
                <w:sz w:val="22"/>
                <w:szCs w:val="22"/>
              </w:rPr>
            </w:pPr>
            <w:r w:rsidRPr="00087F47">
              <w:rPr>
                <w:sz w:val="22"/>
                <w:szCs w:val="22"/>
              </w:rPr>
              <w:t>A discrete unit or module of study.</w:t>
            </w:r>
          </w:p>
        </w:tc>
      </w:tr>
      <w:tr w:rsidR="004B34D9" w14:paraId="6B447077" w14:textId="77777777" w:rsidTr="00BA7010">
        <w:tc>
          <w:tcPr>
            <w:tcW w:w="2093" w:type="dxa"/>
          </w:tcPr>
          <w:p w14:paraId="70292013" w14:textId="77777777" w:rsidR="004B34D9" w:rsidRPr="00BE6164" w:rsidRDefault="004B34D9" w:rsidP="00BA7010">
            <w:pPr>
              <w:pStyle w:val="Paragraph"/>
              <w:spacing w:after="160" w:line="240" w:lineRule="auto"/>
              <w:rPr>
                <w:b/>
              </w:rPr>
            </w:pPr>
            <w:r>
              <w:rPr>
                <w:b/>
              </w:rPr>
              <w:lastRenderedPageBreak/>
              <w:t>Secondary School aged person</w:t>
            </w:r>
          </w:p>
        </w:tc>
        <w:tc>
          <w:tcPr>
            <w:tcW w:w="8539" w:type="dxa"/>
          </w:tcPr>
          <w:p w14:paraId="74C065B2" w14:textId="77777777" w:rsidR="004B34D9" w:rsidRPr="00087F47" w:rsidRDefault="004B34D9" w:rsidP="00BA7010">
            <w:pPr>
              <w:pStyle w:val="Definitions"/>
              <w:tabs>
                <w:tab w:val="left" w:pos="2325"/>
              </w:tabs>
              <w:spacing w:after="0" w:line="240" w:lineRule="auto"/>
              <w:ind w:left="0" w:firstLine="0"/>
              <w:rPr>
                <w:bCs/>
                <w:sz w:val="22"/>
                <w:szCs w:val="22"/>
              </w:rPr>
            </w:pPr>
            <w:r w:rsidRPr="00087F47">
              <w:rPr>
                <w:bCs/>
                <w:sz w:val="22"/>
                <w:szCs w:val="22"/>
              </w:rPr>
              <w:t xml:space="preserve">A person who has reached 15 years of age but has not reached the end of the </w:t>
            </w:r>
          </w:p>
          <w:p w14:paraId="140A53FB" w14:textId="77777777" w:rsidR="004B34D9" w:rsidRPr="00044C75" w:rsidRDefault="004B34D9" w:rsidP="00BA7010">
            <w:pPr>
              <w:pStyle w:val="Definitions"/>
              <w:tabs>
                <w:tab w:val="left" w:pos="2325"/>
              </w:tabs>
              <w:spacing w:after="0" w:line="240" w:lineRule="auto"/>
              <w:ind w:left="0" w:firstLine="0"/>
              <w:rPr>
                <w:bCs/>
                <w:sz w:val="22"/>
                <w:szCs w:val="22"/>
              </w:rPr>
            </w:pPr>
            <w:r w:rsidRPr="00087F47">
              <w:rPr>
                <w:bCs/>
                <w:sz w:val="22"/>
                <w:szCs w:val="22"/>
              </w:rPr>
              <w:t xml:space="preserve">calendar year in which their compulsory education period expires, as defined in the School Education Act 1999. In 2025, these </w:t>
            </w:r>
            <w:proofErr w:type="gramStart"/>
            <w:r w:rsidRPr="00087F47">
              <w:rPr>
                <w:bCs/>
                <w:sz w:val="22"/>
                <w:szCs w:val="22"/>
              </w:rPr>
              <w:t>persons</w:t>
            </w:r>
            <w:proofErr w:type="gramEnd"/>
            <w:r w:rsidRPr="00087F47">
              <w:rPr>
                <w:bCs/>
                <w:sz w:val="22"/>
                <w:szCs w:val="22"/>
              </w:rPr>
              <w:t xml:space="preserve"> will be born on or after 1</w:t>
            </w:r>
            <w:r w:rsidRPr="00087F47">
              <w:rPr>
                <w:bCs/>
                <w:sz w:val="22"/>
                <w:szCs w:val="22"/>
                <w:vertAlign w:val="superscript"/>
              </w:rPr>
              <w:t>st</w:t>
            </w:r>
            <w:r w:rsidRPr="00087F47">
              <w:rPr>
                <w:bCs/>
                <w:sz w:val="22"/>
                <w:szCs w:val="22"/>
              </w:rPr>
              <w:t xml:space="preserve"> July</w:t>
            </w:r>
            <w:r>
              <w:rPr>
                <w:bCs/>
                <w:sz w:val="22"/>
                <w:szCs w:val="22"/>
              </w:rPr>
              <w:t xml:space="preserve"> </w:t>
            </w:r>
            <w:r w:rsidRPr="00087F47">
              <w:rPr>
                <w:bCs/>
                <w:sz w:val="22"/>
                <w:szCs w:val="22"/>
              </w:rPr>
              <w:t>2007.</w:t>
            </w:r>
          </w:p>
        </w:tc>
      </w:tr>
      <w:tr w:rsidR="004B34D9" w14:paraId="3BB2462D" w14:textId="77777777" w:rsidTr="00BA7010">
        <w:tc>
          <w:tcPr>
            <w:tcW w:w="2093" w:type="dxa"/>
          </w:tcPr>
          <w:p w14:paraId="3B9B6C7B" w14:textId="77777777" w:rsidR="004B34D9" w:rsidRDefault="004B34D9" w:rsidP="00BA7010">
            <w:pPr>
              <w:pStyle w:val="Paragraph"/>
              <w:spacing w:after="160" w:line="240" w:lineRule="auto"/>
              <w:rPr>
                <w:b/>
              </w:rPr>
            </w:pPr>
            <w:r w:rsidRPr="00BE6164">
              <w:rPr>
                <w:b/>
              </w:rPr>
              <w:t>Youth</w:t>
            </w:r>
          </w:p>
        </w:tc>
        <w:tc>
          <w:tcPr>
            <w:tcW w:w="8539" w:type="dxa"/>
          </w:tcPr>
          <w:p w14:paraId="549D9036" w14:textId="77777777" w:rsidR="004B34D9" w:rsidRPr="00087F47" w:rsidRDefault="004B34D9" w:rsidP="00BA7010">
            <w:pPr>
              <w:pStyle w:val="Definitions"/>
              <w:tabs>
                <w:tab w:val="left" w:pos="2325"/>
              </w:tabs>
              <w:spacing w:after="0" w:line="240" w:lineRule="auto"/>
              <w:ind w:left="0" w:firstLine="0"/>
              <w:rPr>
                <w:bCs/>
                <w:sz w:val="22"/>
                <w:szCs w:val="22"/>
              </w:rPr>
            </w:pPr>
            <w:r w:rsidRPr="00087F47">
              <w:rPr>
                <w:sz w:val="22"/>
                <w:szCs w:val="22"/>
              </w:rPr>
              <w:t>A person who has reached 15 years of age but has not reached the end of the calendar year in which they turn 25 years of age</w:t>
            </w:r>
          </w:p>
        </w:tc>
      </w:tr>
    </w:tbl>
    <w:p w14:paraId="413B0F07" w14:textId="77777777" w:rsidR="004B34D9" w:rsidRPr="000D29C8" w:rsidRDefault="004B34D9" w:rsidP="004B34D9">
      <w:pPr>
        <w:pStyle w:val="HeadingB"/>
        <w:rPr>
          <w:rFonts w:ascii="Arial" w:hAnsi="Arial" w:cs="Arial"/>
          <w:sz w:val="24"/>
          <w:szCs w:val="24"/>
        </w:rPr>
      </w:pPr>
      <w:r w:rsidRPr="000D29C8">
        <w:rPr>
          <w:rFonts w:ascii="Arial" w:hAnsi="Arial" w:cs="Arial"/>
          <w:sz w:val="24"/>
          <w:szCs w:val="24"/>
        </w:rPr>
        <w:t xml:space="preserve">Payment of fees and charges  </w:t>
      </w:r>
    </w:p>
    <w:p w14:paraId="11BC61DA" w14:textId="77777777" w:rsidR="004B34D9" w:rsidRPr="00BC202F" w:rsidRDefault="004B34D9" w:rsidP="004B34D9">
      <w:pPr>
        <w:pStyle w:val="Paragraph"/>
      </w:pPr>
      <w:r w:rsidRPr="00BC202F">
        <w:t>Enrolment in a College course is not complete</w:t>
      </w:r>
      <w:r>
        <w:t xml:space="preserve"> </w:t>
      </w:r>
      <w:r w:rsidRPr="00BC202F">
        <w:t>until one of the following is in place:</w:t>
      </w:r>
    </w:p>
    <w:p w14:paraId="0302A7AA" w14:textId="77777777" w:rsidR="004B34D9" w:rsidRPr="00BC202F" w:rsidRDefault="004B34D9" w:rsidP="004B34D9">
      <w:pPr>
        <w:pStyle w:val="Bullet1"/>
        <w:numPr>
          <w:ilvl w:val="0"/>
          <w:numId w:val="10"/>
        </w:numPr>
        <w:spacing w:after="120" w:line="264" w:lineRule="auto"/>
        <w:ind w:left="284"/>
        <w:contextualSpacing/>
      </w:pPr>
      <w:r w:rsidRPr="00BC202F">
        <w:t>all prescribed tuition fees and charges are paid by the student, or</w:t>
      </w:r>
    </w:p>
    <w:p w14:paraId="17E6D278" w14:textId="77777777" w:rsidR="004B34D9" w:rsidRPr="00BC202F" w:rsidRDefault="004B34D9" w:rsidP="004B34D9">
      <w:pPr>
        <w:pStyle w:val="Bullet1"/>
        <w:numPr>
          <w:ilvl w:val="0"/>
          <w:numId w:val="10"/>
        </w:numPr>
        <w:spacing w:after="120" w:line="264" w:lineRule="auto"/>
        <w:ind w:left="284"/>
        <w:contextualSpacing/>
      </w:pPr>
      <w:r w:rsidRPr="00BC202F">
        <w:t>commitment is received from a third party to pay the fees, or</w:t>
      </w:r>
    </w:p>
    <w:p w14:paraId="0D24F16F" w14:textId="77777777" w:rsidR="004B34D9" w:rsidRPr="00BC202F" w:rsidRDefault="004B34D9" w:rsidP="004B34D9">
      <w:pPr>
        <w:pStyle w:val="Bullet1"/>
        <w:numPr>
          <w:ilvl w:val="0"/>
          <w:numId w:val="10"/>
        </w:numPr>
        <w:spacing w:after="120" w:line="264" w:lineRule="auto"/>
        <w:ind w:left="284"/>
        <w:contextualSpacing/>
      </w:pPr>
      <w:r w:rsidRPr="00BC202F">
        <w:t xml:space="preserve">deferred payment arrangements </w:t>
      </w:r>
      <w:r>
        <w:t>agreed through a NR TAFE Direct Debit Agreement</w:t>
      </w:r>
      <w:r w:rsidRPr="00BC202F">
        <w:t xml:space="preserve"> are made, or</w:t>
      </w:r>
    </w:p>
    <w:p w14:paraId="5D4EDD67" w14:textId="77777777" w:rsidR="004B34D9" w:rsidRPr="00BC202F" w:rsidRDefault="004B34D9" w:rsidP="004B34D9">
      <w:pPr>
        <w:pStyle w:val="Bullet1"/>
        <w:numPr>
          <w:ilvl w:val="0"/>
          <w:numId w:val="10"/>
        </w:numPr>
        <w:spacing w:after="120" w:line="264" w:lineRule="auto"/>
        <w:ind w:left="284"/>
        <w:contextualSpacing/>
      </w:pPr>
      <w:r w:rsidRPr="00BC202F">
        <w:t xml:space="preserve">fees and charges have been waived, or </w:t>
      </w:r>
    </w:p>
    <w:p w14:paraId="3590AD75" w14:textId="77777777" w:rsidR="004B34D9" w:rsidRPr="00BC202F" w:rsidRDefault="004B34D9" w:rsidP="004B34D9">
      <w:pPr>
        <w:pStyle w:val="Bullet1"/>
        <w:numPr>
          <w:ilvl w:val="0"/>
          <w:numId w:val="10"/>
        </w:numPr>
        <w:spacing w:after="120" w:line="264" w:lineRule="auto"/>
        <w:ind w:left="284"/>
        <w:contextualSpacing/>
      </w:pPr>
      <w:r>
        <w:t xml:space="preserve">A </w:t>
      </w:r>
      <w:r w:rsidRPr="00DB0AA6">
        <w:t>VET Student Loan</w:t>
      </w:r>
      <w:r>
        <w:t xml:space="preserve"> (VSL)</w:t>
      </w:r>
      <w:r w:rsidRPr="00BC202F">
        <w:t xml:space="preserve"> application is completed, approved and processed.</w:t>
      </w:r>
    </w:p>
    <w:p w14:paraId="0A5B30B5" w14:textId="77777777" w:rsidR="004B34D9" w:rsidRPr="004A4014" w:rsidRDefault="004B34D9" w:rsidP="004B34D9">
      <w:pPr>
        <w:pStyle w:val="HeadingB"/>
        <w:rPr>
          <w:rFonts w:ascii="Arial" w:hAnsi="Arial" w:cs="Arial"/>
          <w:sz w:val="24"/>
          <w:szCs w:val="24"/>
        </w:rPr>
      </w:pPr>
      <w:r w:rsidRPr="004A4014">
        <w:rPr>
          <w:rFonts w:ascii="Arial" w:hAnsi="Arial" w:cs="Arial"/>
          <w:sz w:val="24"/>
          <w:szCs w:val="24"/>
        </w:rPr>
        <w:t>Fees for government subsidised courses</w:t>
      </w:r>
    </w:p>
    <w:p w14:paraId="67684301" w14:textId="77777777" w:rsidR="004B34D9" w:rsidRPr="00BC202F" w:rsidRDefault="004B34D9" w:rsidP="004B34D9">
      <w:pPr>
        <w:pStyle w:val="Paragraph"/>
      </w:pPr>
      <w:r w:rsidRPr="00BC202F">
        <w:t>Students enrolled in government subsidised courses may be charged:</w:t>
      </w:r>
    </w:p>
    <w:p w14:paraId="25DF607F" w14:textId="77777777" w:rsidR="004B34D9" w:rsidRPr="00BC202F" w:rsidRDefault="004B34D9" w:rsidP="004B34D9">
      <w:pPr>
        <w:pStyle w:val="Bullet1"/>
        <w:numPr>
          <w:ilvl w:val="0"/>
          <w:numId w:val="10"/>
        </w:numPr>
        <w:spacing w:after="120" w:line="264" w:lineRule="auto"/>
        <w:ind w:left="284"/>
        <w:contextualSpacing/>
      </w:pPr>
      <w:r w:rsidRPr="00BC202F">
        <w:t xml:space="preserve">course fees  </w:t>
      </w:r>
    </w:p>
    <w:p w14:paraId="0585A788" w14:textId="77777777" w:rsidR="004B34D9" w:rsidRPr="00BC202F" w:rsidRDefault="004B34D9" w:rsidP="004B34D9">
      <w:pPr>
        <w:pStyle w:val="Bullet1"/>
        <w:numPr>
          <w:ilvl w:val="0"/>
          <w:numId w:val="10"/>
        </w:numPr>
        <w:spacing w:after="120" w:line="264" w:lineRule="auto"/>
        <w:ind w:left="284"/>
        <w:contextualSpacing/>
      </w:pPr>
      <w:r w:rsidRPr="00BC202F">
        <w:t>resource fees</w:t>
      </w:r>
    </w:p>
    <w:p w14:paraId="7378B324" w14:textId="77777777" w:rsidR="004B34D9" w:rsidRPr="00BC202F" w:rsidRDefault="004B34D9" w:rsidP="004B34D9">
      <w:pPr>
        <w:pStyle w:val="Bullet1"/>
        <w:numPr>
          <w:ilvl w:val="0"/>
          <w:numId w:val="10"/>
        </w:numPr>
        <w:spacing w:after="120" w:line="264" w:lineRule="auto"/>
        <w:ind w:left="284"/>
        <w:contextualSpacing/>
      </w:pPr>
      <w:r w:rsidRPr="00BC202F">
        <w:t>Incidental fees.</w:t>
      </w:r>
    </w:p>
    <w:p w14:paraId="787D68C1" w14:textId="77777777" w:rsidR="004B34D9" w:rsidRPr="004A4014" w:rsidRDefault="004B34D9" w:rsidP="004B34D9">
      <w:pPr>
        <w:pStyle w:val="HeadingC"/>
        <w:rPr>
          <w:rFonts w:ascii="Arial" w:hAnsi="Arial" w:cs="Arial"/>
        </w:rPr>
      </w:pPr>
      <w:r w:rsidRPr="004A4014">
        <w:rPr>
          <w:rFonts w:ascii="Arial" w:hAnsi="Arial" w:cs="Arial"/>
        </w:rPr>
        <w:t>Course fees</w:t>
      </w:r>
    </w:p>
    <w:p w14:paraId="7E28BDE7" w14:textId="77777777" w:rsidR="004B34D9" w:rsidRPr="00602977" w:rsidRDefault="004B34D9" w:rsidP="004B34D9">
      <w:pPr>
        <w:pStyle w:val="Paragraph"/>
      </w:pPr>
      <w:r w:rsidRPr="00526CE2">
        <w:t xml:space="preserve">Course fees are mandated by the </w:t>
      </w:r>
      <w:hyperlink r:id="rId14" w:history="1">
        <w:r w:rsidRPr="00526CE2">
          <w:rPr>
            <w:rStyle w:val="Hyperlink"/>
          </w:rPr>
          <w:t>Department of Training and Workforce Development</w:t>
        </w:r>
      </w:hyperlink>
      <w:r w:rsidRPr="00526CE2">
        <w:t xml:space="preserve"> and are based on the number of hours assigned to each unit (see below).</w:t>
      </w:r>
      <w:r w:rsidRPr="00BC202F">
        <w:t xml:space="preserve"> </w:t>
      </w:r>
    </w:p>
    <w:tbl>
      <w:tblPr>
        <w:tblpPr w:leftFromText="180" w:rightFromText="180" w:vertAnchor="text" w:tblpX="108"/>
        <w:tblW w:w="10031" w:type="dxa"/>
        <w:tblCellMar>
          <w:left w:w="0" w:type="dxa"/>
          <w:right w:w="0" w:type="dxa"/>
        </w:tblCellMar>
        <w:tblLook w:val="04A0" w:firstRow="1" w:lastRow="0" w:firstColumn="1" w:lastColumn="0" w:noHBand="0" w:noVBand="1"/>
      </w:tblPr>
      <w:tblGrid>
        <w:gridCol w:w="7905"/>
        <w:gridCol w:w="2126"/>
      </w:tblGrid>
      <w:tr w:rsidR="004B34D9" w:rsidRPr="004A4014" w14:paraId="190C6CFA" w14:textId="77777777" w:rsidTr="00BA7010">
        <w:trPr>
          <w:trHeight w:val="454"/>
        </w:trPr>
        <w:tc>
          <w:tcPr>
            <w:tcW w:w="7905" w:type="dxa"/>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7C0A489E" w14:textId="77777777" w:rsidR="004B34D9" w:rsidRPr="004A4014" w:rsidRDefault="004B34D9" w:rsidP="00BA7010">
            <w:pPr>
              <w:rPr>
                <w:bCs/>
                <w:color w:val="auto"/>
                <w:sz w:val="22"/>
                <w:szCs w:val="22"/>
              </w:rPr>
            </w:pPr>
            <w:r w:rsidRPr="004A4014">
              <w:rPr>
                <w:bCs/>
                <w:color w:val="auto"/>
                <w:sz w:val="22"/>
                <w:szCs w:val="22"/>
              </w:rPr>
              <w:t>QUALIFICATION CATEGORY</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3190BF6C" w14:textId="77777777" w:rsidR="004B34D9" w:rsidRPr="004A4014" w:rsidRDefault="004B34D9" w:rsidP="00BA7010">
            <w:pPr>
              <w:jc w:val="center"/>
              <w:rPr>
                <w:bCs/>
                <w:color w:val="auto"/>
                <w:sz w:val="22"/>
                <w:szCs w:val="22"/>
              </w:rPr>
            </w:pPr>
            <w:r w:rsidRPr="004A4014">
              <w:rPr>
                <w:bCs/>
                <w:color w:val="auto"/>
                <w:sz w:val="22"/>
                <w:szCs w:val="22"/>
              </w:rPr>
              <w:t xml:space="preserve">Course fee </w:t>
            </w:r>
            <w:r w:rsidRPr="004A4014">
              <w:rPr>
                <w:bCs/>
                <w:color w:val="auto"/>
                <w:sz w:val="22"/>
                <w:szCs w:val="22"/>
              </w:rPr>
              <w:br/>
              <w:t>per nominal hour</w:t>
            </w:r>
          </w:p>
        </w:tc>
      </w:tr>
      <w:tr w:rsidR="004B34D9" w:rsidRPr="004A4014" w14:paraId="58D9657B" w14:textId="77777777" w:rsidTr="00BA7010">
        <w:trPr>
          <w:trHeight w:val="234"/>
        </w:trPr>
        <w:tc>
          <w:tcPr>
            <w:tcW w:w="10031"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bottom"/>
            <w:hideMark/>
          </w:tcPr>
          <w:p w14:paraId="0CBD6507" w14:textId="77777777" w:rsidR="004B34D9" w:rsidRPr="004A4014" w:rsidRDefault="004B34D9" w:rsidP="00BA7010">
            <w:pPr>
              <w:rPr>
                <w:b/>
                <w:bCs/>
                <w:color w:val="auto"/>
                <w:sz w:val="22"/>
                <w:szCs w:val="22"/>
              </w:rPr>
            </w:pPr>
            <w:r w:rsidRPr="004A4014">
              <w:rPr>
                <w:b/>
                <w:bCs/>
                <w:color w:val="auto"/>
                <w:sz w:val="22"/>
                <w:szCs w:val="22"/>
              </w:rPr>
              <w:t>Non-concession student</w:t>
            </w:r>
          </w:p>
        </w:tc>
      </w:tr>
      <w:tr w:rsidR="004B34D9" w:rsidRPr="004A4014" w14:paraId="59EF1978" w14:textId="77777777" w:rsidTr="00BA7010">
        <w:trPr>
          <w:trHeight w:val="302"/>
        </w:trPr>
        <w:tc>
          <w:tcPr>
            <w:tcW w:w="7905"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hideMark/>
          </w:tcPr>
          <w:p w14:paraId="2716F268" w14:textId="77777777" w:rsidR="004B34D9" w:rsidRPr="004A4014" w:rsidRDefault="004B34D9" w:rsidP="00BA7010">
            <w:pPr>
              <w:rPr>
                <w:color w:val="auto"/>
                <w:sz w:val="22"/>
                <w:szCs w:val="22"/>
              </w:rPr>
            </w:pPr>
            <w:r w:rsidRPr="004A4014">
              <w:rPr>
                <w:color w:val="auto"/>
                <w:sz w:val="22"/>
                <w:szCs w:val="22"/>
              </w:rPr>
              <w:t>Category 1 -Diploma and Advanced Diploma* a</w:t>
            </w:r>
            <w:r w:rsidRPr="00497E0E">
              <w:rPr>
                <w:color w:val="auto"/>
                <w:sz w:val="22"/>
                <w:szCs w:val="22"/>
              </w:rPr>
              <w:t>nd Existing Worker Traineeships</w:t>
            </w:r>
          </w:p>
        </w:tc>
        <w:tc>
          <w:tcPr>
            <w:tcW w:w="212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bottom"/>
            <w:hideMark/>
          </w:tcPr>
          <w:p w14:paraId="365E47A3" w14:textId="77777777" w:rsidR="004B34D9" w:rsidRPr="004A4014" w:rsidRDefault="004B34D9" w:rsidP="00BA7010">
            <w:pPr>
              <w:jc w:val="center"/>
              <w:rPr>
                <w:color w:val="auto"/>
                <w:sz w:val="22"/>
                <w:szCs w:val="22"/>
              </w:rPr>
            </w:pPr>
            <w:r w:rsidRPr="004A4014">
              <w:rPr>
                <w:color w:val="auto"/>
                <w:sz w:val="22"/>
                <w:szCs w:val="22"/>
              </w:rPr>
              <w:t>$5.79</w:t>
            </w:r>
          </w:p>
        </w:tc>
      </w:tr>
      <w:tr w:rsidR="004B34D9" w:rsidRPr="004A4014" w14:paraId="2E0089F3" w14:textId="77777777" w:rsidTr="00BA7010">
        <w:trPr>
          <w:trHeight w:val="317"/>
        </w:trPr>
        <w:tc>
          <w:tcPr>
            <w:tcW w:w="7905"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14:paraId="44B107F4" w14:textId="77777777" w:rsidR="004B34D9" w:rsidRPr="004A4014" w:rsidRDefault="004B34D9" w:rsidP="00BA7010">
            <w:pPr>
              <w:rPr>
                <w:color w:val="auto"/>
                <w:sz w:val="22"/>
                <w:szCs w:val="22"/>
              </w:rPr>
            </w:pPr>
            <w:r w:rsidRPr="004A4014">
              <w:rPr>
                <w:color w:val="auto"/>
                <w:sz w:val="22"/>
                <w:szCs w:val="22"/>
              </w:rPr>
              <w:t>Category 2 -Apprenticeships, Traineeships**, and Priority Industry Qualifications (up to Certificate IV)</w:t>
            </w:r>
          </w:p>
        </w:tc>
        <w:tc>
          <w:tcPr>
            <w:tcW w:w="212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568B030A" w14:textId="77777777" w:rsidR="004B34D9" w:rsidRPr="004A4014" w:rsidRDefault="004B34D9" w:rsidP="00BA7010">
            <w:pPr>
              <w:jc w:val="center"/>
              <w:rPr>
                <w:color w:val="auto"/>
                <w:sz w:val="22"/>
                <w:szCs w:val="22"/>
              </w:rPr>
            </w:pPr>
            <w:r w:rsidRPr="004A4014">
              <w:rPr>
                <w:color w:val="auto"/>
                <w:sz w:val="22"/>
                <w:szCs w:val="22"/>
              </w:rPr>
              <w:t>$3.25</w:t>
            </w:r>
          </w:p>
        </w:tc>
      </w:tr>
      <w:tr w:rsidR="004B34D9" w:rsidRPr="004A4014" w14:paraId="55237AE7" w14:textId="77777777" w:rsidTr="00BA7010">
        <w:trPr>
          <w:trHeight w:val="330"/>
        </w:trPr>
        <w:tc>
          <w:tcPr>
            <w:tcW w:w="7905"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tcPr>
          <w:p w14:paraId="65B8F7A8" w14:textId="77777777" w:rsidR="004B34D9" w:rsidRPr="004A4014" w:rsidRDefault="004B34D9" w:rsidP="00BA7010">
            <w:pPr>
              <w:rPr>
                <w:color w:val="auto"/>
                <w:sz w:val="22"/>
                <w:szCs w:val="22"/>
              </w:rPr>
            </w:pPr>
            <w:r w:rsidRPr="004A4014">
              <w:rPr>
                <w:color w:val="auto"/>
                <w:sz w:val="22"/>
                <w:szCs w:val="22"/>
              </w:rPr>
              <w:t>Category 3 -General Industry Training (up to Certificate IV)</w:t>
            </w:r>
          </w:p>
        </w:tc>
        <w:tc>
          <w:tcPr>
            <w:tcW w:w="212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bottom"/>
          </w:tcPr>
          <w:p w14:paraId="0401D3B5" w14:textId="77777777" w:rsidR="004B34D9" w:rsidRPr="004A4014" w:rsidRDefault="004B34D9" w:rsidP="00BA7010">
            <w:pPr>
              <w:jc w:val="center"/>
              <w:rPr>
                <w:color w:val="auto"/>
                <w:sz w:val="22"/>
                <w:szCs w:val="22"/>
              </w:rPr>
            </w:pPr>
            <w:r w:rsidRPr="004A4014">
              <w:rPr>
                <w:color w:val="auto"/>
                <w:sz w:val="22"/>
                <w:szCs w:val="22"/>
              </w:rPr>
              <w:t>$4.88</w:t>
            </w:r>
          </w:p>
        </w:tc>
      </w:tr>
      <w:tr w:rsidR="004B34D9" w:rsidRPr="004A4014" w14:paraId="57AC8894" w14:textId="77777777" w:rsidTr="00BA7010">
        <w:trPr>
          <w:trHeight w:val="330"/>
        </w:trPr>
        <w:tc>
          <w:tcPr>
            <w:tcW w:w="7905"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tcPr>
          <w:p w14:paraId="4D2ED9F1" w14:textId="77777777" w:rsidR="004B34D9" w:rsidRPr="004A4014" w:rsidRDefault="004B34D9" w:rsidP="00BA7010">
            <w:pPr>
              <w:rPr>
                <w:color w:val="auto"/>
                <w:sz w:val="22"/>
                <w:szCs w:val="22"/>
              </w:rPr>
            </w:pPr>
            <w:r w:rsidRPr="004A4014">
              <w:rPr>
                <w:color w:val="auto"/>
                <w:sz w:val="22"/>
                <w:szCs w:val="22"/>
              </w:rPr>
              <w:t>Category 4 -Foundation Skills Courses (including equity courses)</w:t>
            </w:r>
          </w:p>
        </w:tc>
        <w:tc>
          <w:tcPr>
            <w:tcW w:w="212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bottom"/>
          </w:tcPr>
          <w:p w14:paraId="196BCD37" w14:textId="77777777" w:rsidR="004B34D9" w:rsidRPr="004A4014" w:rsidRDefault="004B34D9" w:rsidP="00BA7010">
            <w:pPr>
              <w:jc w:val="center"/>
              <w:rPr>
                <w:color w:val="auto"/>
                <w:sz w:val="22"/>
                <w:szCs w:val="22"/>
              </w:rPr>
            </w:pPr>
            <w:r w:rsidRPr="004A4014">
              <w:rPr>
                <w:color w:val="auto"/>
                <w:sz w:val="22"/>
                <w:szCs w:val="22"/>
              </w:rPr>
              <w:t>$0.21</w:t>
            </w:r>
          </w:p>
        </w:tc>
      </w:tr>
      <w:tr w:rsidR="004B34D9" w:rsidRPr="004A4014" w14:paraId="27FBA966" w14:textId="77777777" w:rsidTr="00BA7010">
        <w:trPr>
          <w:trHeight w:val="330"/>
        </w:trPr>
        <w:tc>
          <w:tcPr>
            <w:tcW w:w="7905"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tcPr>
          <w:p w14:paraId="11006831" w14:textId="77777777" w:rsidR="004B34D9" w:rsidRPr="004A4014" w:rsidRDefault="004B34D9" w:rsidP="00BA7010">
            <w:pPr>
              <w:rPr>
                <w:color w:val="auto"/>
                <w:sz w:val="22"/>
                <w:szCs w:val="22"/>
              </w:rPr>
            </w:pPr>
            <w:r w:rsidRPr="004A4014">
              <w:rPr>
                <w:color w:val="auto"/>
                <w:sz w:val="22"/>
                <w:szCs w:val="22"/>
              </w:rPr>
              <w:t xml:space="preserve">Category 5 -Targeted fee relief courses </w:t>
            </w:r>
          </w:p>
        </w:tc>
        <w:tc>
          <w:tcPr>
            <w:tcW w:w="212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bottom"/>
          </w:tcPr>
          <w:p w14:paraId="57A9CBC8" w14:textId="77777777" w:rsidR="004B34D9" w:rsidRPr="004A4014" w:rsidRDefault="004B34D9" w:rsidP="00BA7010">
            <w:pPr>
              <w:jc w:val="center"/>
              <w:rPr>
                <w:color w:val="auto"/>
                <w:sz w:val="22"/>
                <w:szCs w:val="22"/>
              </w:rPr>
            </w:pPr>
            <w:r w:rsidRPr="004A4014">
              <w:rPr>
                <w:color w:val="auto"/>
                <w:sz w:val="22"/>
                <w:szCs w:val="22"/>
              </w:rPr>
              <w:t>$1.62</w:t>
            </w:r>
          </w:p>
        </w:tc>
      </w:tr>
      <w:tr w:rsidR="004B34D9" w:rsidRPr="004A4014" w14:paraId="23873BC4" w14:textId="77777777" w:rsidTr="00BA7010">
        <w:trPr>
          <w:trHeight w:val="317"/>
        </w:trPr>
        <w:tc>
          <w:tcPr>
            <w:tcW w:w="7905"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hideMark/>
          </w:tcPr>
          <w:p w14:paraId="7C9E7D8D" w14:textId="77777777" w:rsidR="004B34D9" w:rsidRPr="004A4014" w:rsidRDefault="004B34D9" w:rsidP="00BA7010">
            <w:pPr>
              <w:rPr>
                <w:color w:val="auto"/>
                <w:sz w:val="22"/>
                <w:szCs w:val="22"/>
              </w:rPr>
            </w:pPr>
            <w:r w:rsidRPr="004A4014">
              <w:rPr>
                <w:color w:val="auto"/>
                <w:sz w:val="22"/>
                <w:szCs w:val="22"/>
              </w:rPr>
              <w:t>Category 6 –Fee-Free Courses</w:t>
            </w:r>
          </w:p>
        </w:tc>
        <w:tc>
          <w:tcPr>
            <w:tcW w:w="212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bottom"/>
            <w:hideMark/>
          </w:tcPr>
          <w:p w14:paraId="67437FB5" w14:textId="77777777" w:rsidR="004B34D9" w:rsidRPr="004A4014" w:rsidRDefault="004B34D9" w:rsidP="00BA7010">
            <w:pPr>
              <w:jc w:val="center"/>
              <w:rPr>
                <w:color w:val="auto"/>
                <w:sz w:val="22"/>
                <w:szCs w:val="22"/>
              </w:rPr>
            </w:pPr>
            <w:r w:rsidRPr="004A4014">
              <w:rPr>
                <w:color w:val="auto"/>
                <w:sz w:val="22"/>
                <w:szCs w:val="22"/>
              </w:rPr>
              <w:t>$0.00</w:t>
            </w:r>
          </w:p>
        </w:tc>
      </w:tr>
      <w:tr w:rsidR="004B34D9" w:rsidRPr="004A4014" w14:paraId="7ADA4ABB" w14:textId="77777777" w:rsidTr="00BA7010">
        <w:trPr>
          <w:trHeight w:val="473"/>
        </w:trPr>
        <w:tc>
          <w:tcPr>
            <w:tcW w:w="10031"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bottom"/>
            <w:hideMark/>
          </w:tcPr>
          <w:p w14:paraId="160C8F18" w14:textId="77777777" w:rsidR="004B34D9" w:rsidRPr="004A4014" w:rsidRDefault="004B34D9" w:rsidP="00BA7010">
            <w:pPr>
              <w:rPr>
                <w:color w:val="auto"/>
                <w:sz w:val="22"/>
                <w:szCs w:val="22"/>
              </w:rPr>
            </w:pPr>
            <w:r w:rsidRPr="004A4014">
              <w:rPr>
                <w:b/>
                <w:bCs/>
                <w:color w:val="auto"/>
                <w:sz w:val="22"/>
                <w:szCs w:val="22"/>
              </w:rPr>
              <w:t>Concession student</w:t>
            </w:r>
          </w:p>
        </w:tc>
      </w:tr>
      <w:tr w:rsidR="004B34D9" w:rsidRPr="004A4014" w14:paraId="27EDC6CE" w14:textId="77777777" w:rsidTr="00BA7010">
        <w:trPr>
          <w:trHeight w:val="302"/>
        </w:trPr>
        <w:tc>
          <w:tcPr>
            <w:tcW w:w="7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371DEEC" w14:textId="77777777" w:rsidR="004B34D9" w:rsidRPr="004A4014" w:rsidRDefault="004B34D9" w:rsidP="00BA7010">
            <w:pPr>
              <w:rPr>
                <w:color w:val="auto"/>
                <w:sz w:val="22"/>
                <w:szCs w:val="22"/>
              </w:rPr>
            </w:pPr>
            <w:r w:rsidRPr="004A4014">
              <w:rPr>
                <w:color w:val="auto"/>
                <w:sz w:val="22"/>
                <w:szCs w:val="22"/>
              </w:rPr>
              <w:t>Category 1 -Concession-eligible Diploma and Advanced Diploma courses***</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281C84B" w14:textId="77777777" w:rsidR="004B34D9" w:rsidRPr="004A4014" w:rsidRDefault="004B34D9" w:rsidP="00BA7010">
            <w:pPr>
              <w:jc w:val="center"/>
              <w:rPr>
                <w:color w:val="auto"/>
                <w:sz w:val="22"/>
                <w:szCs w:val="22"/>
              </w:rPr>
            </w:pPr>
            <w:r w:rsidRPr="004A4014">
              <w:rPr>
                <w:color w:val="auto"/>
                <w:sz w:val="22"/>
                <w:szCs w:val="22"/>
              </w:rPr>
              <w:t>$1.74</w:t>
            </w:r>
          </w:p>
        </w:tc>
      </w:tr>
      <w:tr w:rsidR="004B34D9" w:rsidRPr="004A4014" w14:paraId="35F16BEA" w14:textId="77777777" w:rsidTr="00BA7010">
        <w:trPr>
          <w:trHeight w:val="317"/>
        </w:trPr>
        <w:tc>
          <w:tcPr>
            <w:tcW w:w="7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7F09357" w14:textId="77777777" w:rsidR="004B34D9" w:rsidRPr="004A4014" w:rsidRDefault="004B34D9" w:rsidP="00BA7010">
            <w:pPr>
              <w:rPr>
                <w:color w:val="auto"/>
                <w:sz w:val="22"/>
                <w:szCs w:val="22"/>
              </w:rPr>
            </w:pPr>
            <w:r w:rsidRPr="004A4014">
              <w:rPr>
                <w:color w:val="auto"/>
                <w:sz w:val="22"/>
                <w:szCs w:val="22"/>
              </w:rPr>
              <w:t>Category 2 -Apprenticeships, Traineeships**, and Priority Industry Qualifications (up to Certificate IV)</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516DE3" w14:textId="77777777" w:rsidR="004B34D9" w:rsidRPr="004A4014" w:rsidRDefault="004B34D9" w:rsidP="00BA7010">
            <w:pPr>
              <w:jc w:val="center"/>
              <w:rPr>
                <w:color w:val="auto"/>
                <w:sz w:val="22"/>
                <w:szCs w:val="22"/>
              </w:rPr>
            </w:pPr>
            <w:r w:rsidRPr="004A4014">
              <w:rPr>
                <w:color w:val="auto"/>
                <w:sz w:val="22"/>
                <w:szCs w:val="22"/>
              </w:rPr>
              <w:t>$0.97</w:t>
            </w:r>
          </w:p>
        </w:tc>
      </w:tr>
      <w:tr w:rsidR="004B34D9" w:rsidRPr="004A4014" w14:paraId="1113E14E" w14:textId="77777777" w:rsidTr="00BA7010">
        <w:trPr>
          <w:trHeight w:val="330"/>
        </w:trPr>
        <w:tc>
          <w:tcPr>
            <w:tcW w:w="7905"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tcPr>
          <w:p w14:paraId="09C5D0AB" w14:textId="77777777" w:rsidR="004B34D9" w:rsidRPr="004A4014" w:rsidRDefault="004B34D9" w:rsidP="00BA7010">
            <w:pPr>
              <w:rPr>
                <w:color w:val="auto"/>
                <w:sz w:val="22"/>
                <w:szCs w:val="22"/>
              </w:rPr>
            </w:pPr>
            <w:r w:rsidRPr="004A4014">
              <w:rPr>
                <w:color w:val="auto"/>
                <w:sz w:val="22"/>
                <w:szCs w:val="22"/>
              </w:rPr>
              <w:t>Category 3 -General Industry Training (up to Certificate IV)</w:t>
            </w:r>
          </w:p>
        </w:tc>
        <w:tc>
          <w:tcPr>
            <w:tcW w:w="212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bottom"/>
          </w:tcPr>
          <w:p w14:paraId="04E2EFBD" w14:textId="77777777" w:rsidR="004B34D9" w:rsidRPr="004A4014" w:rsidRDefault="004B34D9" w:rsidP="00BA7010">
            <w:pPr>
              <w:jc w:val="center"/>
              <w:rPr>
                <w:color w:val="auto"/>
                <w:sz w:val="22"/>
                <w:szCs w:val="22"/>
              </w:rPr>
            </w:pPr>
            <w:r w:rsidRPr="004A4014">
              <w:rPr>
                <w:color w:val="auto"/>
                <w:sz w:val="22"/>
                <w:szCs w:val="22"/>
              </w:rPr>
              <w:t>$1.47</w:t>
            </w:r>
          </w:p>
        </w:tc>
      </w:tr>
      <w:tr w:rsidR="004B34D9" w:rsidRPr="004A4014" w14:paraId="308AF763" w14:textId="77777777" w:rsidTr="00BA7010">
        <w:trPr>
          <w:trHeight w:val="330"/>
        </w:trPr>
        <w:tc>
          <w:tcPr>
            <w:tcW w:w="7905"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tcPr>
          <w:p w14:paraId="42B7374A" w14:textId="77777777" w:rsidR="004B34D9" w:rsidRPr="004A4014" w:rsidRDefault="004B34D9" w:rsidP="00BA7010">
            <w:pPr>
              <w:rPr>
                <w:color w:val="auto"/>
                <w:sz w:val="22"/>
                <w:szCs w:val="22"/>
              </w:rPr>
            </w:pPr>
            <w:r w:rsidRPr="004A4014">
              <w:rPr>
                <w:color w:val="auto"/>
                <w:sz w:val="22"/>
                <w:szCs w:val="22"/>
              </w:rPr>
              <w:t>Category 4 -Foundation Skills Training (including equity courses)</w:t>
            </w:r>
          </w:p>
        </w:tc>
        <w:tc>
          <w:tcPr>
            <w:tcW w:w="212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09D0F671" w14:textId="77777777" w:rsidR="004B34D9" w:rsidRPr="004A4014" w:rsidRDefault="004B34D9" w:rsidP="00BA7010">
            <w:pPr>
              <w:jc w:val="center"/>
              <w:rPr>
                <w:color w:val="auto"/>
                <w:sz w:val="22"/>
                <w:szCs w:val="22"/>
              </w:rPr>
            </w:pPr>
            <w:r w:rsidRPr="004A4014">
              <w:rPr>
                <w:color w:val="auto"/>
                <w:sz w:val="22"/>
                <w:szCs w:val="22"/>
              </w:rPr>
              <w:t>$0.21</w:t>
            </w:r>
          </w:p>
        </w:tc>
      </w:tr>
      <w:tr w:rsidR="004B34D9" w:rsidRPr="004A4014" w14:paraId="12347D81" w14:textId="77777777" w:rsidTr="00BA7010">
        <w:trPr>
          <w:trHeight w:val="330"/>
        </w:trPr>
        <w:tc>
          <w:tcPr>
            <w:tcW w:w="7905"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hideMark/>
          </w:tcPr>
          <w:p w14:paraId="5E415C7E" w14:textId="77777777" w:rsidR="004B34D9" w:rsidRPr="004A4014" w:rsidRDefault="004B34D9" w:rsidP="00BA7010">
            <w:pPr>
              <w:rPr>
                <w:color w:val="auto"/>
                <w:sz w:val="22"/>
                <w:szCs w:val="22"/>
              </w:rPr>
            </w:pPr>
            <w:r w:rsidRPr="004A4014">
              <w:rPr>
                <w:color w:val="auto"/>
                <w:sz w:val="22"/>
                <w:szCs w:val="22"/>
              </w:rPr>
              <w:t xml:space="preserve">Category 5 -Targeted fee relief courses </w:t>
            </w:r>
          </w:p>
        </w:tc>
        <w:tc>
          <w:tcPr>
            <w:tcW w:w="212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bottom"/>
            <w:hideMark/>
          </w:tcPr>
          <w:p w14:paraId="0C862B36" w14:textId="77777777" w:rsidR="004B34D9" w:rsidRPr="004A4014" w:rsidRDefault="004B34D9" w:rsidP="00BA7010">
            <w:pPr>
              <w:jc w:val="center"/>
              <w:rPr>
                <w:color w:val="auto"/>
                <w:sz w:val="22"/>
                <w:szCs w:val="22"/>
              </w:rPr>
            </w:pPr>
            <w:r w:rsidRPr="004A4014">
              <w:rPr>
                <w:color w:val="auto"/>
                <w:sz w:val="22"/>
                <w:szCs w:val="22"/>
              </w:rPr>
              <w:t>$0.48</w:t>
            </w:r>
          </w:p>
        </w:tc>
      </w:tr>
      <w:tr w:rsidR="004B34D9" w:rsidRPr="004A4014" w14:paraId="0C133297" w14:textId="77777777" w:rsidTr="00BA7010">
        <w:trPr>
          <w:trHeight w:val="317"/>
        </w:trPr>
        <w:tc>
          <w:tcPr>
            <w:tcW w:w="7905"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hideMark/>
          </w:tcPr>
          <w:p w14:paraId="02BF6AE6" w14:textId="77777777" w:rsidR="004B34D9" w:rsidRPr="004A4014" w:rsidRDefault="004B34D9" w:rsidP="00BA7010">
            <w:pPr>
              <w:rPr>
                <w:color w:val="auto"/>
                <w:sz w:val="22"/>
                <w:szCs w:val="22"/>
              </w:rPr>
            </w:pPr>
            <w:r w:rsidRPr="004A4014">
              <w:rPr>
                <w:color w:val="auto"/>
                <w:sz w:val="22"/>
                <w:szCs w:val="22"/>
              </w:rPr>
              <w:t>Category 6 – Fee-free courses</w:t>
            </w:r>
          </w:p>
        </w:tc>
        <w:tc>
          <w:tcPr>
            <w:tcW w:w="212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0474B367" w14:textId="77777777" w:rsidR="004B34D9" w:rsidRPr="004A4014" w:rsidRDefault="004B34D9" w:rsidP="00BA7010">
            <w:pPr>
              <w:jc w:val="center"/>
              <w:rPr>
                <w:color w:val="auto"/>
                <w:sz w:val="22"/>
                <w:szCs w:val="22"/>
              </w:rPr>
            </w:pPr>
            <w:r w:rsidRPr="004A4014">
              <w:rPr>
                <w:color w:val="auto"/>
                <w:sz w:val="22"/>
                <w:szCs w:val="22"/>
              </w:rPr>
              <w:t>$0.00</w:t>
            </w:r>
          </w:p>
        </w:tc>
      </w:tr>
    </w:tbl>
    <w:p w14:paraId="57888FDB" w14:textId="77777777" w:rsidR="004B34D9" w:rsidRPr="004A4014" w:rsidRDefault="004B34D9" w:rsidP="004B34D9">
      <w:pPr>
        <w:ind w:left="284" w:hanging="284"/>
        <w:rPr>
          <w:color w:val="auto"/>
          <w:sz w:val="22"/>
          <w:szCs w:val="22"/>
        </w:rPr>
      </w:pPr>
    </w:p>
    <w:p w14:paraId="2D039A4E" w14:textId="77777777" w:rsidR="004B34D9" w:rsidRPr="004A4014" w:rsidRDefault="004B34D9" w:rsidP="004B34D9">
      <w:pPr>
        <w:ind w:left="284" w:hanging="284"/>
        <w:rPr>
          <w:color w:val="auto"/>
          <w:sz w:val="16"/>
          <w:szCs w:val="16"/>
        </w:rPr>
      </w:pPr>
      <w:r w:rsidRPr="004A4014">
        <w:rPr>
          <w:color w:val="auto"/>
          <w:sz w:val="16"/>
          <w:szCs w:val="16"/>
        </w:rPr>
        <w:t>*</w:t>
      </w:r>
      <w:r w:rsidRPr="004A4014">
        <w:rPr>
          <w:color w:val="auto"/>
          <w:sz w:val="16"/>
          <w:szCs w:val="16"/>
        </w:rPr>
        <w:tab/>
        <w:t>Excludes Diploma and Advanced Diploma Qualifications that are Targeted Fee Relief</w:t>
      </w:r>
      <w:r>
        <w:rPr>
          <w:color w:val="auto"/>
          <w:sz w:val="16"/>
          <w:szCs w:val="16"/>
        </w:rPr>
        <w:t>, equity or FEE-FREE courses</w:t>
      </w:r>
      <w:r w:rsidRPr="004A4014">
        <w:rPr>
          <w:color w:val="auto"/>
          <w:sz w:val="16"/>
          <w:szCs w:val="16"/>
        </w:rPr>
        <w:t xml:space="preserve">.   </w:t>
      </w:r>
    </w:p>
    <w:p w14:paraId="7E437BCC" w14:textId="77777777" w:rsidR="004B34D9" w:rsidRPr="004A4014" w:rsidRDefault="004B34D9" w:rsidP="004B34D9">
      <w:pPr>
        <w:ind w:left="284" w:hanging="284"/>
        <w:rPr>
          <w:color w:val="auto"/>
          <w:sz w:val="16"/>
          <w:szCs w:val="16"/>
        </w:rPr>
      </w:pPr>
      <w:r w:rsidRPr="004A4014">
        <w:rPr>
          <w:color w:val="auto"/>
          <w:sz w:val="16"/>
          <w:szCs w:val="16"/>
        </w:rPr>
        <w:t>**</w:t>
      </w:r>
      <w:r w:rsidRPr="004A4014">
        <w:rPr>
          <w:color w:val="auto"/>
          <w:sz w:val="16"/>
          <w:szCs w:val="16"/>
        </w:rPr>
        <w:tab/>
        <w:t>Excludes Existing Worker Traineeships and Targeted Fee Relief</w:t>
      </w:r>
      <w:r>
        <w:rPr>
          <w:color w:val="auto"/>
          <w:sz w:val="16"/>
          <w:szCs w:val="16"/>
        </w:rPr>
        <w:t xml:space="preserve">, equity, or FEE-FREE </w:t>
      </w:r>
      <w:r w:rsidRPr="004A4014">
        <w:rPr>
          <w:color w:val="auto"/>
          <w:sz w:val="16"/>
          <w:szCs w:val="16"/>
        </w:rPr>
        <w:t>Apprenticeships and Traineeships</w:t>
      </w:r>
      <w:r>
        <w:rPr>
          <w:color w:val="auto"/>
          <w:sz w:val="16"/>
          <w:szCs w:val="16"/>
        </w:rPr>
        <w:t>.</w:t>
      </w:r>
    </w:p>
    <w:p w14:paraId="7DF13CAA" w14:textId="77777777" w:rsidR="004B34D9" w:rsidRPr="004A4014" w:rsidRDefault="004B34D9" w:rsidP="004B34D9">
      <w:pPr>
        <w:ind w:left="284" w:hanging="284"/>
        <w:rPr>
          <w:color w:val="auto"/>
          <w:sz w:val="16"/>
          <w:szCs w:val="16"/>
        </w:rPr>
      </w:pPr>
      <w:r w:rsidRPr="004A4014">
        <w:rPr>
          <w:color w:val="auto"/>
          <w:sz w:val="16"/>
          <w:szCs w:val="16"/>
        </w:rPr>
        <w:t>***</w:t>
      </w:r>
      <w:r>
        <w:rPr>
          <w:color w:val="auto"/>
          <w:sz w:val="16"/>
          <w:szCs w:val="16"/>
        </w:rPr>
        <w:tab/>
      </w:r>
      <w:r w:rsidRPr="004A4014">
        <w:rPr>
          <w:color w:val="auto"/>
          <w:sz w:val="16"/>
          <w:szCs w:val="16"/>
        </w:rPr>
        <w:t>Refer to the policy section of DTWD for a list of qualifications for 202</w:t>
      </w:r>
      <w:r>
        <w:rPr>
          <w:color w:val="auto"/>
          <w:sz w:val="16"/>
          <w:szCs w:val="16"/>
        </w:rPr>
        <w:t>5</w:t>
      </w:r>
      <w:r w:rsidRPr="004A4014">
        <w:rPr>
          <w:color w:val="auto"/>
          <w:sz w:val="16"/>
          <w:szCs w:val="16"/>
        </w:rPr>
        <w:t>.</w:t>
      </w:r>
    </w:p>
    <w:p w14:paraId="2AB133D4" w14:textId="77777777" w:rsidR="004B34D9" w:rsidRDefault="004B34D9" w:rsidP="004B34D9">
      <w:pPr>
        <w:pStyle w:val="Paragraph"/>
      </w:pPr>
    </w:p>
    <w:p w14:paraId="6B1E1F69" w14:textId="77777777" w:rsidR="004B34D9" w:rsidRDefault="004B34D9" w:rsidP="004B34D9">
      <w:pPr>
        <w:pStyle w:val="Paragraph"/>
        <w:spacing w:after="120"/>
      </w:pPr>
      <w:proofErr w:type="gramStart"/>
      <w:r>
        <w:lastRenderedPageBreak/>
        <w:t>Particular note</w:t>
      </w:r>
      <w:proofErr w:type="gramEnd"/>
      <w:r>
        <w:t xml:space="preserve"> should be taken of the additional points below in relation to course fees.</w:t>
      </w:r>
    </w:p>
    <w:p w14:paraId="7DA7DF59" w14:textId="77777777" w:rsidR="004B34D9" w:rsidRPr="00ED7331" w:rsidRDefault="004B34D9" w:rsidP="004B34D9">
      <w:pPr>
        <w:pStyle w:val="NumberedBullets0"/>
        <w:rPr>
          <w:bCs/>
          <w:color w:val="E36C0A" w:themeColor="accent6" w:themeShade="BF"/>
          <w:sz w:val="24"/>
          <w:szCs w:val="24"/>
        </w:rPr>
      </w:pPr>
      <w:r w:rsidRPr="00ED7331">
        <w:rPr>
          <w:bCs/>
          <w:color w:val="E36C0A" w:themeColor="accent6" w:themeShade="BF"/>
          <w:sz w:val="24"/>
          <w:szCs w:val="24"/>
        </w:rPr>
        <w:t>Fee caps, waivers and exceptions</w:t>
      </w:r>
    </w:p>
    <w:p w14:paraId="2C30623A" w14:textId="77777777" w:rsidR="004B34D9" w:rsidRDefault="004B34D9" w:rsidP="004B34D9">
      <w:pPr>
        <w:pStyle w:val="Bullet1"/>
        <w:numPr>
          <w:ilvl w:val="0"/>
          <w:numId w:val="10"/>
        </w:numPr>
        <w:spacing w:after="120" w:line="264" w:lineRule="auto"/>
        <w:ind w:left="284"/>
        <w:contextualSpacing/>
        <w:rPr>
          <w:lang w:eastAsia="en-AU"/>
        </w:rPr>
      </w:pPr>
      <w:r w:rsidRPr="00BC202F">
        <w:rPr>
          <w:lang w:eastAsia="en-AU"/>
        </w:rPr>
        <w:t>An annual course fee cap of $7,8</w:t>
      </w:r>
      <w:r>
        <w:rPr>
          <w:lang w:eastAsia="en-AU"/>
        </w:rPr>
        <w:t>6</w:t>
      </w:r>
      <w:r w:rsidRPr="00BC202F">
        <w:rPr>
          <w:lang w:eastAsia="en-AU"/>
        </w:rPr>
        <w:t xml:space="preserve">0 will apply to all </w:t>
      </w:r>
      <w:r>
        <w:rPr>
          <w:lang w:eastAsia="en-AU"/>
        </w:rPr>
        <w:t xml:space="preserve">Category 1 </w:t>
      </w:r>
      <w:r w:rsidRPr="00BC202F">
        <w:rPr>
          <w:lang w:eastAsia="en-AU"/>
        </w:rPr>
        <w:t xml:space="preserve">Diploma </w:t>
      </w:r>
      <w:r>
        <w:rPr>
          <w:lang w:eastAsia="en-AU"/>
        </w:rPr>
        <w:t xml:space="preserve">and Advanced Diploma </w:t>
      </w:r>
      <w:r w:rsidRPr="00BC202F">
        <w:rPr>
          <w:lang w:eastAsia="en-AU"/>
        </w:rPr>
        <w:t xml:space="preserve">courses. </w:t>
      </w:r>
      <w:r>
        <w:rPr>
          <w:lang w:eastAsia="en-AU"/>
        </w:rPr>
        <w:t xml:space="preserve">Where a student is transferred to an updated version of the course, the maximum will be applied as if the enrolment continues in a single course. </w:t>
      </w:r>
    </w:p>
    <w:p w14:paraId="57351F83" w14:textId="77777777" w:rsidR="004B34D9" w:rsidRDefault="004B34D9" w:rsidP="004B34D9">
      <w:pPr>
        <w:pStyle w:val="Bullet1"/>
        <w:numPr>
          <w:ilvl w:val="0"/>
          <w:numId w:val="0"/>
        </w:numPr>
        <w:ind w:left="284"/>
        <w:rPr>
          <w:lang w:eastAsia="en-AU"/>
        </w:rPr>
      </w:pPr>
      <w:r w:rsidRPr="00BC202F">
        <w:rPr>
          <w:lang w:eastAsia="en-AU"/>
        </w:rPr>
        <w:t>(Note that the fee cap for Diploma Courses is applied for each course enrolment)</w:t>
      </w:r>
    </w:p>
    <w:p w14:paraId="2C06D9A1" w14:textId="77777777" w:rsidR="004B34D9" w:rsidRDefault="004B34D9" w:rsidP="004B34D9">
      <w:pPr>
        <w:pStyle w:val="Bullet1"/>
        <w:numPr>
          <w:ilvl w:val="0"/>
          <w:numId w:val="10"/>
        </w:numPr>
        <w:spacing w:after="120" w:line="264" w:lineRule="auto"/>
        <w:ind w:left="284"/>
        <w:contextualSpacing/>
        <w:rPr>
          <w:lang w:eastAsia="en-AU"/>
        </w:rPr>
      </w:pPr>
      <w:r w:rsidRPr="0026417E">
        <w:rPr>
          <w:lang w:eastAsia="en-AU"/>
        </w:rPr>
        <w:t>The maximum course fee for non-con</w:t>
      </w:r>
      <w:r>
        <w:rPr>
          <w:lang w:eastAsia="en-AU"/>
        </w:rPr>
        <w:t>cession students undertaking a Targeted Fee R</w:t>
      </w:r>
      <w:r w:rsidRPr="0026417E">
        <w:rPr>
          <w:lang w:eastAsia="en-AU"/>
        </w:rPr>
        <w:t xml:space="preserve">elief course in </w:t>
      </w:r>
      <w:r>
        <w:rPr>
          <w:lang w:eastAsia="en-AU"/>
        </w:rPr>
        <w:t>2025 is $1,200. For concession S</w:t>
      </w:r>
      <w:r w:rsidRPr="0026417E">
        <w:rPr>
          <w:lang w:eastAsia="en-AU"/>
        </w:rPr>
        <w:t xml:space="preserve">tudents and </w:t>
      </w:r>
      <w:r>
        <w:rPr>
          <w:lang w:eastAsia="en-AU"/>
        </w:rPr>
        <w:t>Y</w:t>
      </w:r>
      <w:r w:rsidRPr="0026417E">
        <w:rPr>
          <w:lang w:eastAsia="en-AU"/>
        </w:rPr>
        <w:t xml:space="preserve">outh, the maximum course fee for undertaking a </w:t>
      </w:r>
      <w:r>
        <w:rPr>
          <w:lang w:eastAsia="en-AU"/>
        </w:rPr>
        <w:t>T</w:t>
      </w:r>
      <w:r w:rsidRPr="0026417E">
        <w:rPr>
          <w:lang w:eastAsia="en-AU"/>
        </w:rPr>
        <w:t xml:space="preserve">argeted </w:t>
      </w:r>
      <w:r>
        <w:rPr>
          <w:lang w:eastAsia="en-AU"/>
        </w:rPr>
        <w:t>F</w:t>
      </w:r>
      <w:r w:rsidRPr="0026417E">
        <w:rPr>
          <w:lang w:eastAsia="en-AU"/>
        </w:rPr>
        <w:t xml:space="preserve">ee </w:t>
      </w:r>
      <w:r>
        <w:rPr>
          <w:lang w:eastAsia="en-AU"/>
        </w:rPr>
        <w:t>R</w:t>
      </w:r>
      <w:r w:rsidRPr="0026417E">
        <w:rPr>
          <w:lang w:eastAsia="en-AU"/>
        </w:rPr>
        <w:t>elief course in 202</w:t>
      </w:r>
      <w:r>
        <w:rPr>
          <w:lang w:eastAsia="en-AU"/>
        </w:rPr>
        <w:t>5</w:t>
      </w:r>
      <w:r w:rsidRPr="0026417E">
        <w:rPr>
          <w:lang w:eastAsia="en-AU"/>
        </w:rPr>
        <w:t xml:space="preserve"> is $400. These maximums apply per course in 202</w:t>
      </w:r>
      <w:r>
        <w:rPr>
          <w:lang w:eastAsia="en-AU"/>
        </w:rPr>
        <w:t xml:space="preserve">5. Where a student is transferred to an updated version of the course, the maximum will be applied as if the enrolment continues in a single course. </w:t>
      </w:r>
    </w:p>
    <w:p w14:paraId="1DD7C4B1" w14:textId="77777777" w:rsidR="004B34D9" w:rsidRDefault="004B34D9" w:rsidP="004B34D9">
      <w:pPr>
        <w:pStyle w:val="Bullet1"/>
        <w:numPr>
          <w:ilvl w:val="0"/>
          <w:numId w:val="10"/>
        </w:numPr>
        <w:spacing w:after="120" w:line="264" w:lineRule="auto"/>
        <w:ind w:left="284"/>
        <w:contextualSpacing/>
        <w:rPr>
          <w:lang w:eastAsia="en-AU"/>
        </w:rPr>
      </w:pPr>
      <w:r w:rsidRPr="003961C3">
        <w:rPr>
          <w:lang w:eastAsia="en-AU"/>
        </w:rPr>
        <w:t xml:space="preserve">Students that have a concession at the time of their </w:t>
      </w:r>
      <w:r w:rsidRPr="0003369C">
        <w:rPr>
          <w:lang w:eastAsia="en-AU"/>
        </w:rPr>
        <w:t>initial</w:t>
      </w:r>
      <w:r w:rsidRPr="003961C3">
        <w:rPr>
          <w:lang w:eastAsia="en-AU"/>
        </w:rPr>
        <w:t xml:space="preserve"> enrolments into a Targeted Fee Relief course will continue to receive the concession</w:t>
      </w:r>
      <w:r>
        <w:rPr>
          <w:lang w:eastAsia="en-AU"/>
        </w:rPr>
        <w:t xml:space="preserve"> fee rate and eligible fee </w:t>
      </w:r>
      <w:r w:rsidRPr="003961C3">
        <w:rPr>
          <w:lang w:eastAsia="en-AU"/>
        </w:rPr>
        <w:t xml:space="preserve">cap until they complete or withdraw from the course, or </w:t>
      </w:r>
      <w:r>
        <w:rPr>
          <w:lang w:eastAsia="en-AU"/>
        </w:rPr>
        <w:t xml:space="preserve">until </w:t>
      </w:r>
      <w:r w:rsidRPr="003961C3">
        <w:rPr>
          <w:lang w:eastAsia="en-AU"/>
        </w:rPr>
        <w:t xml:space="preserve">the end of 2025, whichever is earlier. </w:t>
      </w:r>
    </w:p>
    <w:p w14:paraId="79A16D8C" w14:textId="77777777" w:rsidR="004B34D9" w:rsidRDefault="004B34D9" w:rsidP="004B34D9">
      <w:pPr>
        <w:pStyle w:val="Bullet1"/>
        <w:numPr>
          <w:ilvl w:val="0"/>
          <w:numId w:val="10"/>
        </w:numPr>
        <w:spacing w:after="120" w:line="264" w:lineRule="auto"/>
        <w:ind w:left="284"/>
        <w:contextualSpacing/>
        <w:rPr>
          <w:lang w:eastAsia="en-AU"/>
        </w:rPr>
      </w:pPr>
      <w:r>
        <w:rPr>
          <w:lang w:eastAsia="en-AU"/>
        </w:rPr>
        <w:t xml:space="preserve">The following courses are fee-free for all eligible </w:t>
      </w:r>
      <w:proofErr w:type="gramStart"/>
      <w:r>
        <w:rPr>
          <w:lang w:eastAsia="en-AU"/>
        </w:rPr>
        <w:t>students;</w:t>
      </w:r>
      <w:proofErr w:type="gramEnd"/>
    </w:p>
    <w:p w14:paraId="40F49D5A" w14:textId="77777777" w:rsidR="004B34D9" w:rsidRPr="003961C3" w:rsidRDefault="004B34D9" w:rsidP="004B34D9">
      <w:pPr>
        <w:pStyle w:val="Bullet1"/>
        <w:numPr>
          <w:ilvl w:val="1"/>
          <w:numId w:val="10"/>
        </w:numPr>
        <w:spacing w:after="120" w:line="264" w:lineRule="auto"/>
        <w:contextualSpacing/>
        <w:rPr>
          <w:lang w:eastAsia="en-AU"/>
        </w:rPr>
      </w:pPr>
      <w:r>
        <w:rPr>
          <w:lang w:eastAsia="en-AU"/>
        </w:rPr>
        <w:t>Skill sets and qualifications under the FEE-FREE program.</w:t>
      </w:r>
    </w:p>
    <w:p w14:paraId="03456B87" w14:textId="77777777" w:rsidR="004B34D9" w:rsidRDefault="004B34D9" w:rsidP="004B34D9">
      <w:pPr>
        <w:pStyle w:val="Bullet1"/>
        <w:numPr>
          <w:ilvl w:val="0"/>
          <w:numId w:val="10"/>
        </w:numPr>
        <w:spacing w:after="120" w:line="264" w:lineRule="auto"/>
        <w:ind w:left="284"/>
        <w:contextualSpacing/>
        <w:rPr>
          <w:lang w:eastAsia="en-AU"/>
        </w:rPr>
      </w:pPr>
      <w:r w:rsidRPr="00BC202F">
        <w:rPr>
          <w:lang w:eastAsia="en-AU"/>
        </w:rPr>
        <w:t>Students who are enrolled</w:t>
      </w:r>
      <w:r>
        <w:rPr>
          <w:lang w:eastAsia="en-AU"/>
        </w:rPr>
        <w:t xml:space="preserve"> at school</w:t>
      </w:r>
      <w:r w:rsidRPr="00BC202F">
        <w:rPr>
          <w:lang w:eastAsia="en-AU"/>
        </w:rPr>
        <w:t xml:space="preserve"> </w:t>
      </w:r>
      <w:r>
        <w:rPr>
          <w:lang w:eastAsia="en-AU"/>
        </w:rPr>
        <w:t>and undertaking</w:t>
      </w:r>
      <w:r w:rsidRPr="00BC202F">
        <w:rPr>
          <w:lang w:eastAsia="en-AU"/>
        </w:rPr>
        <w:t xml:space="preserve"> </w:t>
      </w:r>
      <w:r>
        <w:rPr>
          <w:lang w:eastAsia="en-AU"/>
        </w:rPr>
        <w:t>VET Delivered to Secondary Students</w:t>
      </w:r>
      <w:r w:rsidRPr="00BC202F">
        <w:rPr>
          <w:lang w:eastAsia="en-AU"/>
        </w:rPr>
        <w:t xml:space="preserve"> funded by the Department in 20</w:t>
      </w:r>
      <w:r>
        <w:rPr>
          <w:lang w:eastAsia="en-AU"/>
        </w:rPr>
        <w:t>25 are eligible for a course and resource fee exemption</w:t>
      </w:r>
    </w:p>
    <w:p w14:paraId="193AC7C0" w14:textId="77777777" w:rsidR="004B34D9" w:rsidRPr="00BC202F" w:rsidRDefault="004B34D9" w:rsidP="004B34D9">
      <w:pPr>
        <w:pStyle w:val="Bullet1"/>
        <w:numPr>
          <w:ilvl w:val="0"/>
          <w:numId w:val="10"/>
        </w:numPr>
        <w:spacing w:after="120" w:line="264" w:lineRule="auto"/>
        <w:ind w:left="284"/>
        <w:contextualSpacing/>
        <w:rPr>
          <w:lang w:eastAsia="en-AU"/>
        </w:rPr>
      </w:pPr>
      <w:r>
        <w:rPr>
          <w:lang w:eastAsia="en-AU"/>
        </w:rPr>
        <w:t xml:space="preserve">Secondary school-aged </w:t>
      </w:r>
      <w:proofErr w:type="gramStart"/>
      <w:r>
        <w:rPr>
          <w:lang w:eastAsia="en-AU"/>
        </w:rPr>
        <w:t>persons</w:t>
      </w:r>
      <w:proofErr w:type="gramEnd"/>
      <w:r>
        <w:rPr>
          <w:lang w:eastAsia="en-AU"/>
        </w:rPr>
        <w:t xml:space="preserve"> not enrolled at school, or secondary school-aged persons in their final year of school who will not, after the completion of that year be enrolled at a secondary school (please refer to exception conditions listed under VET delivered to Secondary Students below), the maximum course fee chargeable in 2025 is $420. The maximum is the total fee for all courses the student is enrolled in. For these students, course fees for courses that are below Diploma level or are concession-eligible Diploma and Advanced Diploma courses are calculated at the concessional rate until the student reaches the fee cap.</w:t>
      </w:r>
    </w:p>
    <w:p w14:paraId="7F0DE2F2" w14:textId="77777777" w:rsidR="004B34D9" w:rsidRPr="006A5DAC" w:rsidRDefault="004B34D9" w:rsidP="004B34D9">
      <w:pPr>
        <w:pStyle w:val="Bullet1"/>
        <w:numPr>
          <w:ilvl w:val="0"/>
          <w:numId w:val="10"/>
        </w:numPr>
        <w:spacing w:after="120" w:line="264" w:lineRule="auto"/>
        <w:ind w:left="284"/>
        <w:contextualSpacing/>
        <w:rPr>
          <w:lang w:eastAsia="en-AU"/>
        </w:rPr>
      </w:pPr>
      <w:r>
        <w:t xml:space="preserve">Where a course is reclassified into a different category during the year, the reclassification does not affect fees payable for units of the course commenced prior to the reclassification date. If a course is reclassified as Targeted Fee Relief, then the Targeted Fee Relief course fee caps only apply to units commenced on or after the date of reclassification. Where a student has paid for units in a course that has been reclassified and the units will commence on or after the reclassification date, the student is entitled to a refund if the amount of fees paid exceeds the course fees applicable following the reclassification. The refund will be calculated as the difference between the amount paid and the new </w:t>
      </w:r>
      <w:proofErr w:type="gramStart"/>
      <w:r>
        <w:t>applicable course fees</w:t>
      </w:r>
      <w:proofErr w:type="gramEnd"/>
      <w:r>
        <w:t>. Where the amount of fees paid is less than the course fees applicable following the reclassification, the student is not required to pay the difference between the amount paid and the new applicable course fees.</w:t>
      </w:r>
    </w:p>
    <w:p w14:paraId="52C858B9" w14:textId="77777777" w:rsidR="004B34D9" w:rsidRDefault="004B34D9" w:rsidP="004B34D9">
      <w:pPr>
        <w:pStyle w:val="Bullet1"/>
        <w:numPr>
          <w:ilvl w:val="0"/>
          <w:numId w:val="10"/>
        </w:numPr>
        <w:spacing w:after="120" w:line="264" w:lineRule="auto"/>
        <w:ind w:left="284"/>
        <w:contextualSpacing/>
      </w:pPr>
      <w:r w:rsidRPr="00ED7331">
        <w:t>S</w:t>
      </w:r>
      <w:r>
        <w:t xml:space="preserve">econdary school-aged students, </w:t>
      </w:r>
      <w:r w:rsidRPr="00ED7331">
        <w:t xml:space="preserve">who are not at school and under the care of the Chief Executive Officer of the Department for Child Protection and Family Support are exempt from paying </w:t>
      </w:r>
      <w:r>
        <w:t xml:space="preserve">course and resource </w:t>
      </w:r>
      <w:r w:rsidRPr="00ED7331">
        <w:t>fees.</w:t>
      </w:r>
      <w:r>
        <w:t xml:space="preserve"> </w:t>
      </w:r>
    </w:p>
    <w:p w14:paraId="6B007FF4" w14:textId="77777777" w:rsidR="004B34D9" w:rsidRDefault="004B34D9" w:rsidP="004B34D9">
      <w:pPr>
        <w:pStyle w:val="Bullet1"/>
        <w:numPr>
          <w:ilvl w:val="0"/>
          <w:numId w:val="10"/>
        </w:numPr>
        <w:spacing w:after="120" w:line="264" w:lineRule="auto"/>
        <w:ind w:left="284"/>
        <w:contextualSpacing/>
      </w:pPr>
      <w:r>
        <w:t xml:space="preserve">If an existing worker traineeship is listed on the </w:t>
      </w:r>
      <w:hyperlink r:id="rId15" w:anchor="subsidised-training" w:history="1">
        <w:r w:rsidRPr="00DC0B18">
          <w:rPr>
            <w:rStyle w:val="Hyperlink"/>
          </w:rPr>
          <w:t>Existing Worker Traineeship Funded List</w:t>
        </w:r>
      </w:hyperlink>
      <w:r>
        <w:t xml:space="preserve"> it is charged at the Category 1 rate of $5.79 per nominal hour in 2025 except in Targeted Tee Relief courses, where they are charged at the Category 5 fee rate of $1.62 per nominal hour up to the maximum course fee caps as specified above. If not listed on the funded list </w:t>
      </w:r>
      <w:r w:rsidRPr="004C17C9">
        <w:t xml:space="preserve">it is </w:t>
      </w:r>
      <w:r w:rsidRPr="005C67E7">
        <w:t>charged at a Fee</w:t>
      </w:r>
      <w:r>
        <w:t xml:space="preserve"> R</w:t>
      </w:r>
      <w:r w:rsidRPr="005C67E7">
        <w:t xml:space="preserve">ate of </w:t>
      </w:r>
      <w:r w:rsidRPr="00755D94">
        <w:t xml:space="preserve">$22.15 </w:t>
      </w:r>
      <w:r w:rsidRPr="005C67E7">
        <w:t>per nominal hour, plus the applicable resource fees.</w:t>
      </w:r>
      <w:r>
        <w:t xml:space="preserve"> Existing worker trainees are only eligible for fee concessions </w:t>
      </w:r>
      <w:proofErr w:type="gramStart"/>
      <w:r>
        <w:t>in</w:t>
      </w:r>
      <w:proofErr w:type="gramEnd"/>
      <w:r>
        <w:t xml:space="preserve"> Targeted Fee Relief courses and courses specified on the concession eligible Diploma list. Lists of these courses for 2025 are available in the policy section of the </w:t>
      </w:r>
      <w:hyperlink r:id="rId16" w:history="1">
        <w:r w:rsidRPr="00874BA0">
          <w:rPr>
            <w:rStyle w:val="Hyperlink"/>
          </w:rPr>
          <w:t>Department Website</w:t>
        </w:r>
      </w:hyperlink>
      <w:r>
        <w:t>.</w:t>
      </w:r>
    </w:p>
    <w:p w14:paraId="0D39B02D" w14:textId="77777777" w:rsidR="004B34D9" w:rsidRDefault="004B34D9" w:rsidP="004B34D9">
      <w:pPr>
        <w:pStyle w:val="Bullet1"/>
        <w:numPr>
          <w:ilvl w:val="0"/>
          <w:numId w:val="0"/>
        </w:numPr>
        <w:spacing w:after="120" w:line="264" w:lineRule="auto"/>
        <w:ind w:left="284"/>
        <w:contextualSpacing/>
      </w:pPr>
    </w:p>
    <w:p w14:paraId="79285DA0" w14:textId="77777777" w:rsidR="004B34D9" w:rsidRPr="00ED7331" w:rsidRDefault="004B34D9" w:rsidP="004B34D9">
      <w:pPr>
        <w:pStyle w:val="NumberedBullets0"/>
        <w:ind w:left="0" w:firstLine="0"/>
        <w:rPr>
          <w:bCs/>
          <w:color w:val="E36C0A" w:themeColor="accent6" w:themeShade="BF"/>
          <w:sz w:val="24"/>
          <w:szCs w:val="24"/>
        </w:rPr>
      </w:pPr>
      <w:r w:rsidRPr="00ED7331">
        <w:rPr>
          <w:bCs/>
          <w:color w:val="E36C0A" w:themeColor="accent6" w:themeShade="BF"/>
          <w:sz w:val="24"/>
          <w:szCs w:val="24"/>
        </w:rPr>
        <w:lastRenderedPageBreak/>
        <w:t>Recognition of Prior Learning (RPL)</w:t>
      </w:r>
    </w:p>
    <w:p w14:paraId="1C9CB492" w14:textId="77777777" w:rsidR="004B34D9" w:rsidRPr="007D1721" w:rsidRDefault="004B34D9" w:rsidP="004B34D9">
      <w:pPr>
        <w:pStyle w:val="Default"/>
        <w:spacing w:after="120"/>
        <w:rPr>
          <w:sz w:val="22"/>
          <w:szCs w:val="22"/>
        </w:rPr>
      </w:pPr>
      <w:r w:rsidRPr="00B53349">
        <w:rPr>
          <w:sz w:val="22"/>
          <w:szCs w:val="22"/>
        </w:rPr>
        <w:t>Fees for RPL for vocational courses will be $2.44 per nominal hour</w:t>
      </w:r>
      <w:r>
        <w:rPr>
          <w:sz w:val="22"/>
          <w:szCs w:val="22"/>
        </w:rPr>
        <w:t xml:space="preserve"> (50% of non-concessional hourly profile course fee rate for General Industry Training (category 3), </w:t>
      </w:r>
      <w:r w:rsidRPr="00B53349">
        <w:rPr>
          <w:sz w:val="22"/>
          <w:szCs w:val="22"/>
        </w:rPr>
        <w:t>this is a non-refundable fee. No concession fee and/or payment plans are available. Fee caps do not apply.</w:t>
      </w:r>
    </w:p>
    <w:p w14:paraId="42C7F8D1" w14:textId="77777777" w:rsidR="004B34D9" w:rsidRPr="00ED7331" w:rsidRDefault="004B34D9" w:rsidP="004B34D9">
      <w:pPr>
        <w:pStyle w:val="NumberedBullets0"/>
        <w:rPr>
          <w:bCs/>
          <w:color w:val="E36C0A" w:themeColor="accent6" w:themeShade="BF"/>
          <w:sz w:val="24"/>
          <w:szCs w:val="24"/>
        </w:rPr>
      </w:pPr>
      <w:r w:rsidRPr="00ED7331">
        <w:rPr>
          <w:bCs/>
          <w:color w:val="E36C0A" w:themeColor="accent6" w:themeShade="BF"/>
          <w:sz w:val="24"/>
          <w:szCs w:val="24"/>
        </w:rPr>
        <w:t>Re-enrolling in the same unit</w:t>
      </w:r>
    </w:p>
    <w:p w14:paraId="0CA1311C" w14:textId="77777777" w:rsidR="004B34D9" w:rsidRDefault="004B34D9" w:rsidP="004B34D9">
      <w:pPr>
        <w:pStyle w:val="Paragraph"/>
        <w:rPr>
          <w:bCs/>
          <w:color w:val="E97200"/>
          <w:spacing w:val="6"/>
          <w:sz w:val="24"/>
          <w:szCs w:val="24"/>
        </w:rPr>
      </w:pPr>
      <w:r w:rsidRPr="00BC202F">
        <w:t xml:space="preserve">Students wishing to enrol in a unit in which the student has already obtained </w:t>
      </w:r>
      <w:r>
        <w:t xml:space="preserve">competency </w:t>
      </w:r>
      <w:r w:rsidRPr="00BC202F">
        <w:t xml:space="preserve">will be charged at the </w:t>
      </w:r>
      <w:r w:rsidRPr="007D1721">
        <w:t>Fee Rate of $22.15 per nominal</w:t>
      </w:r>
      <w:r>
        <w:t xml:space="preserve"> hour, plus the applicable </w:t>
      </w:r>
      <w:r w:rsidRPr="005C67E7">
        <w:t>resource fee.</w:t>
      </w:r>
      <w:r>
        <w:t xml:space="preserve">  </w:t>
      </w:r>
    </w:p>
    <w:p w14:paraId="1EE5C814" w14:textId="77777777" w:rsidR="004B34D9" w:rsidRPr="004A4014" w:rsidRDefault="004B34D9" w:rsidP="004B34D9">
      <w:pPr>
        <w:pStyle w:val="HeadingC"/>
        <w:rPr>
          <w:rFonts w:ascii="Arial" w:hAnsi="Arial" w:cs="Arial"/>
        </w:rPr>
      </w:pPr>
      <w:r w:rsidRPr="004A4014">
        <w:rPr>
          <w:rFonts w:ascii="Arial" w:hAnsi="Arial" w:cs="Arial"/>
        </w:rPr>
        <w:t>Resource fees</w:t>
      </w:r>
    </w:p>
    <w:p w14:paraId="703976FD" w14:textId="77777777" w:rsidR="004B34D9" w:rsidRPr="00BC202F" w:rsidRDefault="004B34D9" w:rsidP="004B34D9">
      <w:pPr>
        <w:pStyle w:val="Paragraph"/>
      </w:pPr>
      <w:r w:rsidRPr="00BC202F">
        <w:t xml:space="preserve">Resource fees cover materials purchased by the College to be consumed or transformed by students </w:t>
      </w:r>
      <w:proofErr w:type="gramStart"/>
      <w:r w:rsidRPr="00BC202F">
        <w:t>in the course of</w:t>
      </w:r>
      <w:proofErr w:type="gramEnd"/>
      <w:r w:rsidRPr="00BC202F">
        <w:t xml:space="preserve"> training.</w:t>
      </w:r>
      <w:r>
        <w:t xml:space="preserve"> </w:t>
      </w:r>
      <w:r w:rsidRPr="00BC202F">
        <w:t>Resource fees are charges for materials that are considered essential to a course or unit of study, and which do not form part of the course fee.</w:t>
      </w:r>
    </w:p>
    <w:p w14:paraId="6796ABF0" w14:textId="77777777" w:rsidR="004B34D9" w:rsidRDefault="004B34D9" w:rsidP="004B34D9">
      <w:pPr>
        <w:pStyle w:val="Paragraph"/>
      </w:pPr>
      <w:r w:rsidRPr="00BC202F">
        <w:t>Any equipment that will be retained by the student as his or her own personal property must be purchased separately by the student.</w:t>
      </w:r>
      <w:r>
        <w:t xml:space="preserve"> </w:t>
      </w:r>
      <w:r w:rsidRPr="00BC202F">
        <w:t xml:space="preserve">Students will not be charged for hiring, leasing, </w:t>
      </w:r>
      <w:proofErr w:type="gramStart"/>
      <w:r w:rsidRPr="00BC202F">
        <w:t>purchase</w:t>
      </w:r>
      <w:proofErr w:type="gramEnd"/>
      <w:r w:rsidRPr="00BC202F">
        <w:t xml:space="preserve"> or depreciation of equipment or general infrastructure.</w:t>
      </w:r>
      <w:r>
        <w:t xml:space="preserve"> </w:t>
      </w:r>
      <w:r w:rsidRPr="00BC202F">
        <w:t>Excursions will be charged to students as they arise.</w:t>
      </w:r>
      <w:bookmarkStart w:id="0" w:name="_Toc254617106"/>
      <w:r>
        <w:t xml:space="preserve">  </w:t>
      </w:r>
    </w:p>
    <w:p w14:paraId="1A4F02E9" w14:textId="77777777" w:rsidR="004B34D9" w:rsidRDefault="004B34D9" w:rsidP="004B34D9">
      <w:pPr>
        <w:pStyle w:val="Paragraph"/>
      </w:pPr>
    </w:p>
    <w:p w14:paraId="642F6D9F" w14:textId="77777777" w:rsidR="004B34D9" w:rsidRPr="00D674F4" w:rsidRDefault="004B34D9" w:rsidP="004B34D9">
      <w:pPr>
        <w:pStyle w:val="Paragraph"/>
        <w:rPr>
          <w:lang w:val="en-AU"/>
        </w:rPr>
      </w:pPr>
      <w:r>
        <w:t xml:space="preserve">Further information on resource fees are provided in the </w:t>
      </w:r>
      <w:hyperlink r:id="rId17" w:history="1">
        <w:r w:rsidRPr="00D674F4">
          <w:rPr>
            <w:rStyle w:val="Hyperlink"/>
            <w:lang w:val="en-AU"/>
          </w:rPr>
          <w:t>2025 DTWD VET Fees and Charges Policy</w:t>
        </w:r>
      </w:hyperlink>
      <w:r>
        <w:rPr>
          <w:lang w:val="en-AU"/>
        </w:rPr>
        <w:t>.</w:t>
      </w:r>
    </w:p>
    <w:p w14:paraId="0A8D69D2" w14:textId="77777777" w:rsidR="004B34D9" w:rsidRPr="004A4014" w:rsidRDefault="004B34D9" w:rsidP="004B34D9">
      <w:pPr>
        <w:pStyle w:val="HeadingC"/>
        <w:rPr>
          <w:rFonts w:ascii="Arial" w:hAnsi="Arial" w:cs="Arial"/>
        </w:rPr>
      </w:pPr>
      <w:r w:rsidRPr="004A4014">
        <w:rPr>
          <w:rFonts w:ascii="Arial" w:hAnsi="Arial" w:cs="Arial"/>
        </w:rPr>
        <w:t>Incidental fees</w:t>
      </w:r>
    </w:p>
    <w:p w14:paraId="6E2156D5" w14:textId="77777777" w:rsidR="004B34D9" w:rsidRPr="00BC202F" w:rsidRDefault="004B34D9" w:rsidP="004B34D9">
      <w:pPr>
        <w:pStyle w:val="Paragraph"/>
      </w:pPr>
      <w:r w:rsidRPr="00BC202F">
        <w:t>Incidental fees include:</w:t>
      </w:r>
    </w:p>
    <w:tbl>
      <w:tblPr>
        <w:tblStyle w:val="TableGrid"/>
        <w:tblW w:w="10206" w:type="dxa"/>
        <w:tblInd w:w="108" w:type="dxa"/>
        <w:tblLook w:val="04A0" w:firstRow="1" w:lastRow="0" w:firstColumn="1" w:lastColumn="0" w:noHBand="0" w:noVBand="1"/>
      </w:tblPr>
      <w:tblGrid>
        <w:gridCol w:w="5557"/>
        <w:gridCol w:w="4649"/>
      </w:tblGrid>
      <w:tr w:rsidR="004B34D9" w:rsidRPr="008332AF" w14:paraId="4DC16578" w14:textId="77777777" w:rsidTr="00BA7010">
        <w:tc>
          <w:tcPr>
            <w:tcW w:w="5557" w:type="dxa"/>
          </w:tcPr>
          <w:p w14:paraId="100D1667" w14:textId="77777777" w:rsidR="004B34D9" w:rsidRPr="008E5C8B" w:rsidRDefault="004B34D9" w:rsidP="00BA7010">
            <w:pPr>
              <w:spacing w:before="40" w:after="40"/>
              <w:rPr>
                <w:color w:val="auto"/>
                <w:sz w:val="22"/>
                <w:szCs w:val="22"/>
              </w:rPr>
            </w:pPr>
            <w:r w:rsidRPr="008E5C8B">
              <w:rPr>
                <w:color w:val="auto"/>
                <w:sz w:val="22"/>
                <w:szCs w:val="22"/>
              </w:rPr>
              <w:t xml:space="preserve">Re-issue of academic statement or issue of </w:t>
            </w:r>
            <w:r>
              <w:rPr>
                <w:color w:val="auto"/>
                <w:sz w:val="22"/>
                <w:szCs w:val="22"/>
              </w:rPr>
              <w:t xml:space="preserve">wallet </w:t>
            </w:r>
            <w:r w:rsidRPr="008E5C8B">
              <w:rPr>
                <w:color w:val="auto"/>
                <w:sz w:val="22"/>
                <w:szCs w:val="22"/>
              </w:rPr>
              <w:t xml:space="preserve">card in addition to Academic Statement: </w:t>
            </w:r>
          </w:p>
          <w:p w14:paraId="61212BFB" w14:textId="77777777" w:rsidR="004B34D9" w:rsidRPr="008E5C8B" w:rsidRDefault="004B34D9" w:rsidP="00BA7010">
            <w:pPr>
              <w:pStyle w:val="ListParagraph"/>
              <w:numPr>
                <w:ilvl w:val="0"/>
                <w:numId w:val="17"/>
              </w:numPr>
              <w:spacing w:before="40" w:after="40"/>
              <w:rPr>
                <w:color w:val="auto"/>
                <w:sz w:val="22"/>
                <w:szCs w:val="22"/>
              </w:rPr>
            </w:pPr>
            <w:r w:rsidRPr="008E5C8B">
              <w:rPr>
                <w:color w:val="auto"/>
                <w:sz w:val="22"/>
                <w:szCs w:val="22"/>
              </w:rPr>
              <w:t xml:space="preserve">Results on computer network </w:t>
            </w:r>
          </w:p>
          <w:p w14:paraId="50A12FB9" w14:textId="77777777" w:rsidR="004B34D9" w:rsidRPr="008E5C8B" w:rsidRDefault="004B34D9" w:rsidP="00BA7010">
            <w:pPr>
              <w:pStyle w:val="ListParagraph"/>
              <w:numPr>
                <w:ilvl w:val="0"/>
                <w:numId w:val="17"/>
              </w:numPr>
              <w:spacing w:before="40" w:after="40"/>
              <w:rPr>
                <w:color w:val="auto"/>
                <w:sz w:val="22"/>
                <w:szCs w:val="22"/>
              </w:rPr>
            </w:pPr>
            <w:r w:rsidRPr="008E5C8B">
              <w:rPr>
                <w:color w:val="auto"/>
                <w:sz w:val="22"/>
                <w:szCs w:val="22"/>
              </w:rPr>
              <w:t xml:space="preserve">Results from archive </w:t>
            </w:r>
          </w:p>
        </w:tc>
        <w:tc>
          <w:tcPr>
            <w:tcW w:w="4649" w:type="dxa"/>
          </w:tcPr>
          <w:p w14:paraId="52B0A97E" w14:textId="77777777" w:rsidR="004B34D9" w:rsidRPr="008E5C8B" w:rsidRDefault="004B34D9" w:rsidP="00BA7010">
            <w:pPr>
              <w:spacing w:before="40" w:after="40"/>
              <w:rPr>
                <w:color w:val="auto"/>
                <w:sz w:val="22"/>
                <w:szCs w:val="22"/>
              </w:rPr>
            </w:pPr>
          </w:p>
          <w:p w14:paraId="5E632615" w14:textId="77777777" w:rsidR="004B34D9" w:rsidRPr="008E5C8B" w:rsidRDefault="004B34D9" w:rsidP="00BA7010">
            <w:pPr>
              <w:spacing w:before="40" w:after="40"/>
              <w:rPr>
                <w:color w:val="auto"/>
                <w:sz w:val="22"/>
                <w:szCs w:val="22"/>
              </w:rPr>
            </w:pPr>
          </w:p>
          <w:p w14:paraId="1CB8CF45" w14:textId="77777777" w:rsidR="004B34D9" w:rsidRPr="008E5C8B" w:rsidRDefault="004B34D9" w:rsidP="00BA7010">
            <w:pPr>
              <w:spacing w:before="40" w:after="40"/>
              <w:rPr>
                <w:color w:val="auto"/>
                <w:sz w:val="22"/>
                <w:szCs w:val="22"/>
              </w:rPr>
            </w:pPr>
            <w:r w:rsidRPr="008E5C8B">
              <w:rPr>
                <w:color w:val="auto"/>
                <w:sz w:val="22"/>
                <w:szCs w:val="22"/>
              </w:rPr>
              <w:t>$20.00</w:t>
            </w:r>
          </w:p>
          <w:p w14:paraId="78F44329" w14:textId="77777777" w:rsidR="004B34D9" w:rsidRPr="008E5C8B" w:rsidRDefault="004B34D9" w:rsidP="00BA7010">
            <w:pPr>
              <w:spacing w:before="40" w:after="40"/>
              <w:rPr>
                <w:color w:val="auto"/>
                <w:sz w:val="22"/>
                <w:szCs w:val="22"/>
              </w:rPr>
            </w:pPr>
            <w:r w:rsidRPr="008E5C8B">
              <w:rPr>
                <w:color w:val="auto"/>
                <w:sz w:val="22"/>
                <w:szCs w:val="22"/>
              </w:rPr>
              <w:t>$30.00</w:t>
            </w:r>
          </w:p>
        </w:tc>
      </w:tr>
      <w:tr w:rsidR="004B34D9" w:rsidRPr="008332AF" w14:paraId="0D66ECE1" w14:textId="77777777" w:rsidTr="00BA7010">
        <w:tc>
          <w:tcPr>
            <w:tcW w:w="5557" w:type="dxa"/>
          </w:tcPr>
          <w:p w14:paraId="0F5E83E3" w14:textId="77777777" w:rsidR="004B34D9" w:rsidRPr="004A4014" w:rsidRDefault="004B34D9" w:rsidP="00BA7010">
            <w:pPr>
              <w:spacing w:before="40" w:after="40"/>
              <w:rPr>
                <w:color w:val="auto"/>
                <w:sz w:val="22"/>
                <w:szCs w:val="22"/>
              </w:rPr>
            </w:pPr>
            <w:r w:rsidRPr="004A4014">
              <w:rPr>
                <w:color w:val="auto"/>
                <w:sz w:val="22"/>
                <w:szCs w:val="22"/>
              </w:rPr>
              <w:t xml:space="preserve">Replacement of </w:t>
            </w:r>
            <w:r>
              <w:rPr>
                <w:color w:val="auto"/>
                <w:sz w:val="22"/>
                <w:szCs w:val="22"/>
              </w:rPr>
              <w:t>a</w:t>
            </w:r>
            <w:r w:rsidRPr="004A4014">
              <w:rPr>
                <w:color w:val="auto"/>
                <w:sz w:val="22"/>
                <w:szCs w:val="22"/>
              </w:rPr>
              <w:t>ward/</w:t>
            </w:r>
            <w:r>
              <w:rPr>
                <w:color w:val="auto"/>
                <w:sz w:val="22"/>
                <w:szCs w:val="22"/>
              </w:rPr>
              <w:t>q</w:t>
            </w:r>
            <w:r w:rsidRPr="004A4014">
              <w:rPr>
                <w:color w:val="auto"/>
                <w:sz w:val="22"/>
                <w:szCs w:val="22"/>
              </w:rPr>
              <w:t>ualification</w:t>
            </w:r>
            <w:r>
              <w:rPr>
                <w:color w:val="auto"/>
                <w:sz w:val="22"/>
                <w:szCs w:val="22"/>
              </w:rPr>
              <w:t>/academic record</w:t>
            </w:r>
          </w:p>
        </w:tc>
        <w:tc>
          <w:tcPr>
            <w:tcW w:w="4649" w:type="dxa"/>
          </w:tcPr>
          <w:p w14:paraId="37F66665" w14:textId="77777777" w:rsidR="004B34D9" w:rsidRDefault="004B34D9" w:rsidP="00BA7010">
            <w:pPr>
              <w:spacing w:before="40" w:after="40"/>
              <w:rPr>
                <w:color w:val="auto"/>
                <w:sz w:val="22"/>
                <w:szCs w:val="22"/>
              </w:rPr>
            </w:pPr>
          </w:p>
          <w:p w14:paraId="02C2FCBF" w14:textId="77777777" w:rsidR="004B34D9" w:rsidRPr="004A4014" w:rsidRDefault="004B34D9" w:rsidP="00BA7010">
            <w:pPr>
              <w:spacing w:before="40" w:after="40"/>
              <w:rPr>
                <w:color w:val="auto"/>
                <w:sz w:val="22"/>
                <w:szCs w:val="22"/>
                <w:highlight w:val="yellow"/>
              </w:rPr>
            </w:pPr>
            <w:r w:rsidRPr="004A4014">
              <w:rPr>
                <w:color w:val="auto"/>
                <w:sz w:val="22"/>
                <w:szCs w:val="22"/>
              </w:rPr>
              <w:t>$50.00</w:t>
            </w:r>
          </w:p>
        </w:tc>
      </w:tr>
      <w:tr w:rsidR="004B34D9" w:rsidRPr="008332AF" w14:paraId="6FA44C21" w14:textId="77777777" w:rsidTr="00BA7010">
        <w:tc>
          <w:tcPr>
            <w:tcW w:w="5557" w:type="dxa"/>
          </w:tcPr>
          <w:p w14:paraId="409A1DC7" w14:textId="77777777" w:rsidR="004B34D9" w:rsidRPr="005E6BF7" w:rsidRDefault="004B34D9" w:rsidP="00BA7010">
            <w:pPr>
              <w:pStyle w:val="Default"/>
              <w:rPr>
                <w:sz w:val="22"/>
                <w:szCs w:val="22"/>
              </w:rPr>
            </w:pPr>
            <w:r>
              <w:rPr>
                <w:sz w:val="22"/>
                <w:szCs w:val="22"/>
              </w:rPr>
              <w:t>Re-marking of an Assessment – per unit</w:t>
            </w:r>
          </w:p>
        </w:tc>
        <w:tc>
          <w:tcPr>
            <w:tcW w:w="4649" w:type="dxa"/>
          </w:tcPr>
          <w:p w14:paraId="737521F3" w14:textId="77777777" w:rsidR="004B34D9" w:rsidRPr="004A4014" w:rsidRDefault="004B34D9" w:rsidP="00BA7010">
            <w:pPr>
              <w:spacing w:before="40" w:after="40"/>
              <w:rPr>
                <w:color w:val="auto"/>
                <w:sz w:val="22"/>
                <w:szCs w:val="22"/>
              </w:rPr>
            </w:pPr>
            <w:r w:rsidRPr="004A4014">
              <w:rPr>
                <w:color w:val="auto"/>
                <w:sz w:val="22"/>
                <w:szCs w:val="22"/>
              </w:rPr>
              <w:t>$2</w:t>
            </w:r>
            <w:r>
              <w:rPr>
                <w:color w:val="auto"/>
                <w:sz w:val="22"/>
                <w:szCs w:val="22"/>
              </w:rPr>
              <w:t>5</w:t>
            </w:r>
            <w:r w:rsidRPr="004A4014">
              <w:rPr>
                <w:color w:val="auto"/>
                <w:sz w:val="22"/>
                <w:szCs w:val="22"/>
              </w:rPr>
              <w:t>.00</w:t>
            </w:r>
          </w:p>
        </w:tc>
      </w:tr>
      <w:tr w:rsidR="004B34D9" w:rsidRPr="008332AF" w14:paraId="2C5DB2A5" w14:textId="77777777" w:rsidTr="00BA7010">
        <w:tc>
          <w:tcPr>
            <w:tcW w:w="5557" w:type="dxa"/>
          </w:tcPr>
          <w:p w14:paraId="0D097AB6" w14:textId="77777777" w:rsidR="004B34D9" w:rsidRPr="004A4014" w:rsidRDefault="004B34D9" w:rsidP="00BA7010">
            <w:pPr>
              <w:spacing w:before="40" w:after="40"/>
              <w:rPr>
                <w:color w:val="auto"/>
                <w:sz w:val="22"/>
                <w:szCs w:val="22"/>
              </w:rPr>
            </w:pPr>
            <w:r w:rsidRPr="004A4014">
              <w:rPr>
                <w:color w:val="auto"/>
                <w:sz w:val="22"/>
                <w:szCs w:val="22"/>
              </w:rPr>
              <w:t>Remote assessment supervision</w:t>
            </w:r>
          </w:p>
        </w:tc>
        <w:tc>
          <w:tcPr>
            <w:tcW w:w="4649" w:type="dxa"/>
          </w:tcPr>
          <w:p w14:paraId="3FB5612C" w14:textId="77777777" w:rsidR="004B34D9" w:rsidRPr="004A4014" w:rsidRDefault="004B34D9" w:rsidP="00BA7010">
            <w:pPr>
              <w:spacing w:before="40" w:after="40"/>
              <w:rPr>
                <w:color w:val="auto"/>
                <w:sz w:val="22"/>
                <w:szCs w:val="22"/>
              </w:rPr>
            </w:pPr>
            <w:r w:rsidRPr="004A4014">
              <w:rPr>
                <w:color w:val="auto"/>
                <w:sz w:val="22"/>
                <w:szCs w:val="22"/>
              </w:rPr>
              <w:t>$50.00</w:t>
            </w:r>
          </w:p>
        </w:tc>
      </w:tr>
      <w:tr w:rsidR="004B34D9" w:rsidRPr="008332AF" w14:paraId="08B37811" w14:textId="77777777" w:rsidTr="00BA7010">
        <w:tc>
          <w:tcPr>
            <w:tcW w:w="5557" w:type="dxa"/>
          </w:tcPr>
          <w:p w14:paraId="219B3FBB" w14:textId="77777777" w:rsidR="004B34D9" w:rsidRPr="004A4014" w:rsidRDefault="004B34D9" w:rsidP="00BA7010">
            <w:pPr>
              <w:spacing w:before="40" w:after="40"/>
              <w:rPr>
                <w:color w:val="auto"/>
                <w:sz w:val="22"/>
                <w:szCs w:val="22"/>
              </w:rPr>
            </w:pPr>
            <w:r w:rsidRPr="004A4014">
              <w:rPr>
                <w:color w:val="auto"/>
                <w:sz w:val="22"/>
                <w:szCs w:val="22"/>
              </w:rPr>
              <w:t>Issue and re-issue of WorkSafe White Card</w:t>
            </w:r>
          </w:p>
        </w:tc>
        <w:tc>
          <w:tcPr>
            <w:tcW w:w="4649" w:type="dxa"/>
          </w:tcPr>
          <w:p w14:paraId="5BE8AFF7" w14:textId="77777777" w:rsidR="004B34D9" w:rsidRPr="004A4014" w:rsidRDefault="004B34D9" w:rsidP="00BA7010">
            <w:pPr>
              <w:spacing w:before="40" w:after="40"/>
              <w:rPr>
                <w:color w:val="auto"/>
                <w:sz w:val="22"/>
                <w:szCs w:val="22"/>
              </w:rPr>
            </w:pPr>
            <w:r>
              <w:rPr>
                <w:color w:val="auto"/>
                <w:sz w:val="22"/>
                <w:szCs w:val="22"/>
              </w:rPr>
              <w:t>$25</w:t>
            </w:r>
            <w:r w:rsidRPr="004A4014">
              <w:rPr>
                <w:color w:val="auto"/>
                <w:sz w:val="22"/>
                <w:szCs w:val="22"/>
              </w:rPr>
              <w:t>.00</w:t>
            </w:r>
          </w:p>
        </w:tc>
      </w:tr>
      <w:tr w:rsidR="004B34D9" w:rsidRPr="008332AF" w14:paraId="1BC5D2BB" w14:textId="77777777" w:rsidTr="00BA7010">
        <w:tc>
          <w:tcPr>
            <w:tcW w:w="5557" w:type="dxa"/>
          </w:tcPr>
          <w:p w14:paraId="6811D5C7" w14:textId="77777777" w:rsidR="004B34D9" w:rsidRPr="004A4014" w:rsidRDefault="004B34D9" w:rsidP="00BA7010">
            <w:pPr>
              <w:spacing w:before="40" w:after="40"/>
              <w:rPr>
                <w:color w:val="auto"/>
                <w:sz w:val="22"/>
                <w:szCs w:val="22"/>
              </w:rPr>
            </w:pPr>
            <w:r w:rsidRPr="004A4014">
              <w:rPr>
                <w:color w:val="auto"/>
                <w:sz w:val="22"/>
                <w:szCs w:val="22"/>
              </w:rPr>
              <w:t>Senior First Aid</w:t>
            </w:r>
          </w:p>
        </w:tc>
        <w:tc>
          <w:tcPr>
            <w:tcW w:w="4649" w:type="dxa"/>
          </w:tcPr>
          <w:p w14:paraId="0F431694" w14:textId="77777777" w:rsidR="004B34D9" w:rsidRPr="004A4014" w:rsidRDefault="004B34D9" w:rsidP="00BA7010">
            <w:pPr>
              <w:spacing w:before="40" w:after="40"/>
              <w:rPr>
                <w:color w:val="auto"/>
                <w:sz w:val="22"/>
                <w:szCs w:val="22"/>
              </w:rPr>
            </w:pPr>
            <w:r w:rsidRPr="004A4014">
              <w:rPr>
                <w:color w:val="auto"/>
                <w:sz w:val="22"/>
                <w:szCs w:val="22"/>
              </w:rPr>
              <w:t>Rate as defined by the Licensing body</w:t>
            </w:r>
          </w:p>
        </w:tc>
      </w:tr>
      <w:tr w:rsidR="004B34D9" w:rsidRPr="008332AF" w14:paraId="38C4B5F3" w14:textId="77777777" w:rsidTr="00BA7010">
        <w:tc>
          <w:tcPr>
            <w:tcW w:w="5557" w:type="dxa"/>
          </w:tcPr>
          <w:p w14:paraId="0F3214CC" w14:textId="77777777" w:rsidR="004B34D9" w:rsidRPr="004A4014" w:rsidRDefault="004B34D9" w:rsidP="00BA7010">
            <w:pPr>
              <w:spacing w:before="40" w:after="40"/>
              <w:rPr>
                <w:color w:val="auto"/>
                <w:sz w:val="22"/>
                <w:szCs w:val="22"/>
              </w:rPr>
            </w:pPr>
            <w:r w:rsidRPr="004A4014">
              <w:rPr>
                <w:color w:val="auto"/>
                <w:sz w:val="22"/>
                <w:szCs w:val="22"/>
              </w:rPr>
              <w:t>Marine Radio Operator examination application</w:t>
            </w:r>
          </w:p>
        </w:tc>
        <w:tc>
          <w:tcPr>
            <w:tcW w:w="4649" w:type="dxa"/>
          </w:tcPr>
          <w:p w14:paraId="0F5486D1" w14:textId="77777777" w:rsidR="004B34D9" w:rsidRPr="004A4014" w:rsidRDefault="004B34D9" w:rsidP="00BA7010">
            <w:pPr>
              <w:spacing w:before="40" w:after="40"/>
              <w:rPr>
                <w:color w:val="auto"/>
                <w:sz w:val="22"/>
                <w:szCs w:val="22"/>
              </w:rPr>
            </w:pPr>
            <w:r w:rsidRPr="004A4014">
              <w:rPr>
                <w:color w:val="auto"/>
                <w:sz w:val="22"/>
                <w:szCs w:val="22"/>
              </w:rPr>
              <w:t>Rate as defined by the Licensing body</w:t>
            </w:r>
          </w:p>
        </w:tc>
      </w:tr>
      <w:tr w:rsidR="004B34D9" w:rsidRPr="008332AF" w14:paraId="4034DB95" w14:textId="77777777" w:rsidTr="00BA7010">
        <w:tc>
          <w:tcPr>
            <w:tcW w:w="5557" w:type="dxa"/>
          </w:tcPr>
          <w:p w14:paraId="6D8503B1" w14:textId="77777777" w:rsidR="004B34D9" w:rsidRPr="004A4014" w:rsidRDefault="004B34D9" w:rsidP="00BA7010">
            <w:pPr>
              <w:spacing w:before="40" w:after="40"/>
              <w:rPr>
                <w:color w:val="auto"/>
                <w:sz w:val="22"/>
                <w:szCs w:val="22"/>
              </w:rPr>
            </w:pPr>
            <w:r w:rsidRPr="004A4014">
              <w:rPr>
                <w:color w:val="auto"/>
                <w:sz w:val="22"/>
                <w:szCs w:val="22"/>
              </w:rPr>
              <w:t>WorkSafe High Risk Licence</w:t>
            </w:r>
          </w:p>
        </w:tc>
        <w:tc>
          <w:tcPr>
            <w:tcW w:w="4649" w:type="dxa"/>
          </w:tcPr>
          <w:p w14:paraId="22EB8408" w14:textId="77777777" w:rsidR="004B34D9" w:rsidRPr="004A4014" w:rsidRDefault="004B34D9" w:rsidP="00BA7010">
            <w:pPr>
              <w:spacing w:before="40" w:after="40"/>
              <w:rPr>
                <w:color w:val="auto"/>
                <w:sz w:val="22"/>
                <w:szCs w:val="22"/>
              </w:rPr>
            </w:pPr>
            <w:r w:rsidRPr="004A4014">
              <w:rPr>
                <w:color w:val="auto"/>
                <w:sz w:val="22"/>
                <w:szCs w:val="22"/>
              </w:rPr>
              <w:t>Rate as defined by the Licensing body for a new Licence</w:t>
            </w:r>
          </w:p>
        </w:tc>
      </w:tr>
    </w:tbl>
    <w:p w14:paraId="46D8B134" w14:textId="77777777" w:rsidR="004B34D9" w:rsidRPr="00235DC3" w:rsidRDefault="004B34D9" w:rsidP="004B34D9">
      <w:pPr>
        <w:pStyle w:val="HeadingC"/>
      </w:pPr>
      <w:r w:rsidRPr="004A4014">
        <w:rPr>
          <w:rFonts w:ascii="Arial" w:hAnsi="Arial" w:cs="Arial"/>
        </w:rPr>
        <w:t>Fee concession entitlement</w:t>
      </w:r>
      <w:r w:rsidRPr="00235DC3">
        <w:tab/>
      </w:r>
    </w:p>
    <w:p w14:paraId="0212FC13" w14:textId="77777777" w:rsidR="004B34D9" w:rsidRPr="00BC202F" w:rsidRDefault="004B34D9" w:rsidP="004B34D9">
      <w:pPr>
        <w:pStyle w:val="Paragraph"/>
      </w:pPr>
      <w:r w:rsidRPr="00BC202F">
        <w:t>The following students are entitled to the concession rate on course fees at Certificate Levels I through to IV, except for Foundation Skills courses.</w:t>
      </w:r>
    </w:p>
    <w:p w14:paraId="2D5D12C3" w14:textId="77777777" w:rsidR="004B34D9" w:rsidRPr="00DA1078" w:rsidRDefault="004B34D9" w:rsidP="004B34D9">
      <w:pPr>
        <w:pStyle w:val="NumberedBullets0"/>
        <w:numPr>
          <w:ilvl w:val="0"/>
          <w:numId w:val="14"/>
        </w:numPr>
        <w:spacing w:after="0"/>
        <w:rPr>
          <w:sz w:val="22"/>
          <w:szCs w:val="22"/>
        </w:rPr>
      </w:pPr>
      <w:proofErr w:type="gramStart"/>
      <w:r w:rsidRPr="00DA1078">
        <w:rPr>
          <w:sz w:val="22"/>
          <w:szCs w:val="22"/>
        </w:rPr>
        <w:t>Persons</w:t>
      </w:r>
      <w:proofErr w:type="gramEnd"/>
      <w:r w:rsidRPr="00DA1078">
        <w:rPr>
          <w:sz w:val="22"/>
          <w:szCs w:val="22"/>
        </w:rPr>
        <w:t xml:space="preserve"> and dependents of persons holding a: </w:t>
      </w:r>
    </w:p>
    <w:p w14:paraId="66A57C9C" w14:textId="77777777" w:rsidR="004B34D9" w:rsidRPr="00DA1078" w:rsidRDefault="004B34D9" w:rsidP="004B34D9">
      <w:pPr>
        <w:pStyle w:val="Bullet2"/>
        <w:widowControl w:val="0"/>
        <w:numPr>
          <w:ilvl w:val="1"/>
          <w:numId w:val="13"/>
        </w:numPr>
        <w:suppressAutoHyphens/>
        <w:autoSpaceDE w:val="0"/>
        <w:autoSpaceDN w:val="0"/>
        <w:adjustRightInd w:val="0"/>
        <w:spacing w:after="120" w:line="264" w:lineRule="auto"/>
        <w:contextualSpacing/>
        <w:textAlignment w:val="center"/>
      </w:pPr>
      <w:r w:rsidRPr="00DA1078">
        <w:t>Pensioner Concession Card</w:t>
      </w:r>
    </w:p>
    <w:p w14:paraId="75AA5F3C" w14:textId="77777777" w:rsidR="004B34D9" w:rsidRPr="00DA1078" w:rsidRDefault="004B34D9" w:rsidP="004B34D9">
      <w:pPr>
        <w:pStyle w:val="Bullet2"/>
        <w:widowControl w:val="0"/>
        <w:numPr>
          <w:ilvl w:val="1"/>
          <w:numId w:val="13"/>
        </w:numPr>
        <w:suppressAutoHyphens/>
        <w:autoSpaceDE w:val="0"/>
        <w:autoSpaceDN w:val="0"/>
        <w:adjustRightInd w:val="0"/>
        <w:spacing w:after="120" w:line="264" w:lineRule="auto"/>
        <w:contextualSpacing/>
        <w:textAlignment w:val="center"/>
      </w:pPr>
      <w:r w:rsidRPr="00DA1078">
        <w:t>Repatriation Health Benefits Card issued by the Department of Veterans’ Affairs</w:t>
      </w:r>
    </w:p>
    <w:p w14:paraId="24147696" w14:textId="77777777" w:rsidR="004B34D9" w:rsidRDefault="004B34D9" w:rsidP="004B34D9">
      <w:pPr>
        <w:pStyle w:val="Bullet2"/>
        <w:widowControl w:val="0"/>
        <w:numPr>
          <w:ilvl w:val="1"/>
          <w:numId w:val="13"/>
        </w:numPr>
        <w:suppressAutoHyphens/>
        <w:autoSpaceDE w:val="0"/>
        <w:autoSpaceDN w:val="0"/>
        <w:adjustRightInd w:val="0"/>
        <w:spacing w:after="120" w:line="264" w:lineRule="auto"/>
        <w:contextualSpacing/>
        <w:textAlignment w:val="center"/>
      </w:pPr>
      <w:r w:rsidRPr="00DA1078">
        <w:t>Health Care Card.</w:t>
      </w:r>
    </w:p>
    <w:p w14:paraId="401620A6" w14:textId="77777777" w:rsidR="004B34D9" w:rsidRPr="007D1721" w:rsidRDefault="004B34D9" w:rsidP="004B34D9">
      <w:pPr>
        <w:rPr>
          <w:color w:val="auto"/>
          <w:sz w:val="22"/>
          <w:szCs w:val="22"/>
        </w:rPr>
      </w:pPr>
      <w:r>
        <w:br w:type="page"/>
      </w:r>
    </w:p>
    <w:p w14:paraId="2BEF5713" w14:textId="77777777" w:rsidR="004B34D9" w:rsidRPr="00DA1078" w:rsidRDefault="004B34D9" w:rsidP="004B34D9">
      <w:pPr>
        <w:pStyle w:val="NumberedBullets0"/>
        <w:numPr>
          <w:ilvl w:val="0"/>
          <w:numId w:val="13"/>
        </w:numPr>
        <w:spacing w:after="0"/>
        <w:rPr>
          <w:sz w:val="22"/>
          <w:szCs w:val="22"/>
        </w:rPr>
      </w:pPr>
      <w:r w:rsidRPr="00DA1078">
        <w:rPr>
          <w:sz w:val="22"/>
          <w:szCs w:val="22"/>
        </w:rPr>
        <w:lastRenderedPageBreak/>
        <w:t>Persons and dependents of persons in receipt of:</w:t>
      </w:r>
      <w:r w:rsidRPr="00DA1078">
        <w:rPr>
          <w:noProof/>
          <w:sz w:val="22"/>
          <w:szCs w:val="22"/>
          <w:lang w:eastAsia="en-AU"/>
        </w:rPr>
        <w:t xml:space="preserve"> </w:t>
      </w:r>
    </w:p>
    <w:p w14:paraId="17EC346B" w14:textId="77777777" w:rsidR="004B34D9" w:rsidRPr="00DA1078" w:rsidRDefault="004B34D9" w:rsidP="004B34D9">
      <w:pPr>
        <w:pStyle w:val="Bullet2"/>
        <w:widowControl w:val="0"/>
        <w:numPr>
          <w:ilvl w:val="1"/>
          <w:numId w:val="13"/>
        </w:numPr>
        <w:suppressAutoHyphens/>
        <w:autoSpaceDE w:val="0"/>
        <w:autoSpaceDN w:val="0"/>
        <w:adjustRightInd w:val="0"/>
        <w:spacing w:after="120" w:line="264" w:lineRule="auto"/>
        <w:contextualSpacing/>
        <w:textAlignment w:val="center"/>
      </w:pPr>
      <w:r w:rsidRPr="00DA1078">
        <w:t>AUSTUDY or ABSTUDY</w:t>
      </w:r>
    </w:p>
    <w:p w14:paraId="5BA3AF68" w14:textId="77777777" w:rsidR="004B34D9" w:rsidRPr="00DA1078" w:rsidRDefault="004B34D9" w:rsidP="004B34D9">
      <w:pPr>
        <w:pStyle w:val="Bullet2"/>
        <w:widowControl w:val="0"/>
        <w:numPr>
          <w:ilvl w:val="1"/>
          <w:numId w:val="13"/>
        </w:numPr>
        <w:suppressAutoHyphens/>
        <w:autoSpaceDE w:val="0"/>
        <w:autoSpaceDN w:val="0"/>
        <w:adjustRightInd w:val="0"/>
        <w:spacing w:after="120" w:line="264" w:lineRule="auto"/>
        <w:contextualSpacing/>
        <w:textAlignment w:val="center"/>
      </w:pPr>
      <w:r w:rsidRPr="00DA1078">
        <w:t>Youth Allowance.</w:t>
      </w:r>
    </w:p>
    <w:p w14:paraId="318D0E03" w14:textId="77777777" w:rsidR="004B34D9" w:rsidRPr="00DA1078" w:rsidRDefault="004B34D9" w:rsidP="004B34D9">
      <w:pPr>
        <w:pStyle w:val="Bullet2"/>
        <w:widowControl w:val="0"/>
        <w:numPr>
          <w:ilvl w:val="1"/>
          <w:numId w:val="13"/>
        </w:numPr>
        <w:suppressAutoHyphens/>
        <w:autoSpaceDE w:val="0"/>
        <w:autoSpaceDN w:val="0"/>
        <w:adjustRightInd w:val="0"/>
        <w:spacing w:after="120" w:line="264" w:lineRule="auto"/>
        <w:contextualSpacing/>
        <w:textAlignment w:val="center"/>
      </w:pPr>
      <w:r w:rsidRPr="00DA1078">
        <w:t>Commonwealth</w:t>
      </w:r>
      <w:r>
        <w:t xml:space="preserve"> support or employment services programs, Workforce Australia or </w:t>
      </w:r>
      <w:r w:rsidRPr="00DA1078">
        <w:t>ParentsNext</w:t>
      </w:r>
      <w:r>
        <w:t>.</w:t>
      </w:r>
    </w:p>
    <w:p w14:paraId="0B5F4BC8" w14:textId="77777777" w:rsidR="004B34D9" w:rsidRPr="00DA1078" w:rsidRDefault="004B34D9" w:rsidP="004B34D9">
      <w:pPr>
        <w:pStyle w:val="NumberedBullets0"/>
        <w:numPr>
          <w:ilvl w:val="0"/>
          <w:numId w:val="13"/>
        </w:numPr>
        <w:rPr>
          <w:sz w:val="22"/>
          <w:szCs w:val="22"/>
        </w:rPr>
      </w:pPr>
      <w:proofErr w:type="gramStart"/>
      <w:r w:rsidRPr="00DA1078">
        <w:rPr>
          <w:sz w:val="22"/>
          <w:szCs w:val="22"/>
        </w:rPr>
        <w:t>Persons</w:t>
      </w:r>
      <w:proofErr w:type="gramEnd"/>
      <w:r w:rsidRPr="00DA1078">
        <w:rPr>
          <w:sz w:val="22"/>
          <w:szCs w:val="22"/>
        </w:rPr>
        <w:t xml:space="preserve"> who are inmates of a custodial institution.</w:t>
      </w:r>
    </w:p>
    <w:p w14:paraId="61EADE18" w14:textId="77777777" w:rsidR="004B34D9" w:rsidRPr="00DA1078" w:rsidRDefault="004B34D9" w:rsidP="004B34D9">
      <w:pPr>
        <w:pStyle w:val="NumberedBullets0"/>
        <w:numPr>
          <w:ilvl w:val="0"/>
          <w:numId w:val="13"/>
        </w:numPr>
        <w:rPr>
          <w:sz w:val="22"/>
          <w:szCs w:val="22"/>
        </w:rPr>
      </w:pPr>
      <w:r w:rsidRPr="00DA1078">
        <w:rPr>
          <w:sz w:val="22"/>
          <w:szCs w:val="22"/>
        </w:rPr>
        <w:t xml:space="preserve">Secondary school aged </w:t>
      </w:r>
      <w:proofErr w:type="gramStart"/>
      <w:r w:rsidRPr="00DA1078">
        <w:rPr>
          <w:sz w:val="22"/>
          <w:szCs w:val="22"/>
        </w:rPr>
        <w:t>persons</w:t>
      </w:r>
      <w:proofErr w:type="gramEnd"/>
      <w:r w:rsidRPr="00DA1078">
        <w:rPr>
          <w:sz w:val="22"/>
          <w:szCs w:val="22"/>
        </w:rPr>
        <w:t>, not enrolled at school.</w:t>
      </w:r>
    </w:p>
    <w:p w14:paraId="0A571F88" w14:textId="77777777" w:rsidR="004B34D9" w:rsidRPr="0026417E" w:rsidRDefault="004B34D9" w:rsidP="004B34D9">
      <w:pPr>
        <w:pStyle w:val="Paragraph"/>
        <w:rPr>
          <w:strike/>
        </w:rPr>
      </w:pPr>
      <w:r w:rsidRPr="00BC202F">
        <w:t xml:space="preserve">Proof of eligibility for concession must be shown at the time of enrolment. </w:t>
      </w:r>
    </w:p>
    <w:p w14:paraId="4B614B98" w14:textId="77777777" w:rsidR="004B34D9" w:rsidRPr="004A4014" w:rsidRDefault="004B34D9" w:rsidP="004B34D9">
      <w:pPr>
        <w:pStyle w:val="HeadingC"/>
        <w:rPr>
          <w:rFonts w:ascii="Arial" w:hAnsi="Arial" w:cs="Arial"/>
        </w:rPr>
      </w:pPr>
      <w:r w:rsidRPr="004A4014">
        <w:rPr>
          <w:rFonts w:ascii="Arial" w:hAnsi="Arial" w:cs="Arial"/>
        </w:rPr>
        <w:t>Apprentices and trainees</w:t>
      </w:r>
    </w:p>
    <w:p w14:paraId="6E9DDFFB" w14:textId="77777777" w:rsidR="004B34D9" w:rsidRPr="00BC202F" w:rsidRDefault="004B34D9" w:rsidP="004B34D9">
      <w:pPr>
        <w:pStyle w:val="Paragraph"/>
      </w:pPr>
      <w:r w:rsidRPr="00BC202F">
        <w:t xml:space="preserve">Apprentices and trainees may be eligible for publicly funded training if the: </w:t>
      </w:r>
    </w:p>
    <w:p w14:paraId="39A69140" w14:textId="77777777" w:rsidR="004B34D9" w:rsidRPr="00BC202F" w:rsidRDefault="004B34D9" w:rsidP="004B34D9">
      <w:pPr>
        <w:pStyle w:val="Bullet1"/>
        <w:numPr>
          <w:ilvl w:val="0"/>
          <w:numId w:val="10"/>
        </w:numPr>
        <w:spacing w:after="120" w:line="264" w:lineRule="auto"/>
        <w:ind w:left="284"/>
        <w:contextualSpacing/>
      </w:pPr>
      <w:r w:rsidRPr="00BC202F">
        <w:t xml:space="preserve">training contract is registered in Western Australia; and </w:t>
      </w:r>
    </w:p>
    <w:p w14:paraId="461F21D6" w14:textId="77777777" w:rsidR="004B34D9" w:rsidRPr="00BC202F" w:rsidRDefault="004B34D9" w:rsidP="004B34D9">
      <w:pPr>
        <w:pStyle w:val="Bullet1"/>
        <w:numPr>
          <w:ilvl w:val="0"/>
          <w:numId w:val="10"/>
        </w:numPr>
        <w:spacing w:after="120" w:line="264" w:lineRule="auto"/>
        <w:ind w:left="284"/>
        <w:contextualSpacing/>
      </w:pPr>
      <w:r w:rsidRPr="00BC202F">
        <w:t xml:space="preserve">workplace is in Western Australia; and </w:t>
      </w:r>
    </w:p>
    <w:p w14:paraId="3361E390" w14:textId="77777777" w:rsidR="004B34D9" w:rsidRPr="00BC202F" w:rsidRDefault="004B34D9" w:rsidP="004B34D9">
      <w:pPr>
        <w:pStyle w:val="Bullet1"/>
        <w:numPr>
          <w:ilvl w:val="0"/>
          <w:numId w:val="10"/>
        </w:numPr>
        <w:spacing w:after="120" w:line="264" w:lineRule="auto"/>
        <w:ind w:left="284"/>
        <w:contextualSpacing/>
      </w:pPr>
      <w:r w:rsidRPr="00BC202F">
        <w:t xml:space="preserve">training occurs in Western Australia, unless the training is only available in another state or territory. </w:t>
      </w:r>
    </w:p>
    <w:p w14:paraId="4D63D677" w14:textId="77777777" w:rsidR="004B34D9" w:rsidRPr="00BC202F" w:rsidRDefault="004B34D9" w:rsidP="004B34D9">
      <w:pPr>
        <w:pStyle w:val="Paragraph"/>
      </w:pPr>
      <w:r w:rsidRPr="00BC202F">
        <w:t xml:space="preserve">Where trainees and apprentices are eligible for training, course fees apply as per the fee rates </w:t>
      </w:r>
      <w:proofErr w:type="gramStart"/>
      <w:r w:rsidRPr="00BC202F">
        <w:t>in</w:t>
      </w:r>
      <w:proofErr w:type="gramEnd"/>
      <w:r w:rsidRPr="00BC202F">
        <w:t xml:space="preserve"> the table above and additional resource fees may be charged.</w:t>
      </w:r>
    </w:p>
    <w:p w14:paraId="0A277431" w14:textId="77777777" w:rsidR="004B34D9" w:rsidRPr="004A4014" w:rsidRDefault="004B34D9" w:rsidP="004B34D9">
      <w:pPr>
        <w:pStyle w:val="HeadingC"/>
        <w:rPr>
          <w:rFonts w:ascii="Arial" w:hAnsi="Arial" w:cs="Arial"/>
        </w:rPr>
      </w:pPr>
      <w:r w:rsidRPr="004A4014">
        <w:rPr>
          <w:rFonts w:ascii="Arial" w:hAnsi="Arial" w:cs="Arial"/>
        </w:rPr>
        <w:t>Skill sets</w:t>
      </w:r>
    </w:p>
    <w:p w14:paraId="26A130ED" w14:textId="77777777" w:rsidR="004B34D9" w:rsidRDefault="004B34D9" w:rsidP="004B34D9">
      <w:pPr>
        <w:pStyle w:val="Paragraph"/>
      </w:pPr>
      <w:r>
        <w:t>Skill sets</w:t>
      </w:r>
      <w:r w:rsidRPr="008C0C3D">
        <w:t xml:space="preserve"> </w:t>
      </w:r>
      <w:r>
        <w:t xml:space="preserve">may be </w:t>
      </w:r>
      <w:r w:rsidRPr="008C0C3D">
        <w:t xml:space="preserve">offered </w:t>
      </w:r>
      <w:r>
        <w:t>under</w:t>
      </w:r>
      <w:r w:rsidRPr="008C0C3D">
        <w:t xml:space="preserve"> Profile</w:t>
      </w:r>
      <w:r>
        <w:t xml:space="preserve"> or costed and charged at Commercial fee rate</w:t>
      </w:r>
      <w:r w:rsidRPr="008C0C3D">
        <w:t xml:space="preserve">s determined by </w:t>
      </w:r>
      <w:r>
        <w:t xml:space="preserve">either </w:t>
      </w:r>
      <w:r w:rsidRPr="008C0C3D">
        <w:t>the Training Manager</w:t>
      </w:r>
      <w:r>
        <w:t xml:space="preserve"> or Director Training Services &amp; Support</w:t>
      </w:r>
      <w:r w:rsidRPr="008C0C3D">
        <w:t>.</w:t>
      </w:r>
      <w:r>
        <w:t xml:space="preserve"> </w:t>
      </w:r>
      <w:r w:rsidRPr="008C0C3D">
        <w:t xml:space="preserve">Costing sheets for </w:t>
      </w:r>
      <w:r>
        <w:t xml:space="preserve">Commercial </w:t>
      </w:r>
      <w:r w:rsidRPr="008C0C3D">
        <w:t xml:space="preserve">courses must be approved by the Training Manager </w:t>
      </w:r>
      <w:r>
        <w:t xml:space="preserve">or Director Training Services and Support and endorsed by the Chief Financial Officer. </w:t>
      </w:r>
      <w:r>
        <w:br/>
      </w:r>
      <w:r w:rsidRPr="008C0C3D">
        <w:t>Concessions, Payment Plans and/or Fee Waivers are not available f</w:t>
      </w:r>
      <w:r>
        <w:t>or non-accredited Skill Sets</w:t>
      </w:r>
      <w:r w:rsidRPr="008C0C3D">
        <w:t>.</w:t>
      </w:r>
      <w:r w:rsidRPr="00BC202F">
        <w:t xml:space="preserve"> </w:t>
      </w:r>
    </w:p>
    <w:bookmarkEnd w:id="0"/>
    <w:p w14:paraId="10DEC59F" w14:textId="77777777" w:rsidR="004B34D9" w:rsidRPr="004A4014" w:rsidRDefault="004B34D9" w:rsidP="004B34D9">
      <w:pPr>
        <w:pStyle w:val="HeadingC"/>
        <w:rPr>
          <w:rFonts w:ascii="Arial" w:hAnsi="Arial" w:cs="Arial"/>
        </w:rPr>
      </w:pPr>
      <w:r w:rsidRPr="004A4014">
        <w:rPr>
          <w:rFonts w:ascii="Arial" w:hAnsi="Arial" w:cs="Arial"/>
        </w:rPr>
        <w:t>VET delivered to Secondary Students</w:t>
      </w:r>
    </w:p>
    <w:p w14:paraId="4D503037" w14:textId="77777777" w:rsidR="004B34D9" w:rsidRPr="00BC202F" w:rsidRDefault="004B34D9" w:rsidP="004B34D9">
      <w:pPr>
        <w:pStyle w:val="Paragraph"/>
      </w:pPr>
      <w:r w:rsidRPr="005C67E7">
        <w:t xml:space="preserve">A student’s school enrolment status will determine the funding stream and statutory fees that apply as outlined in the </w:t>
      </w:r>
      <w:hyperlink r:id="rId18" w:anchor="i-vet-qualifications-register-for-secondary-students-01" w:history="1">
        <w:r>
          <w:rPr>
            <w:rStyle w:val="Hyperlink"/>
            <w:color w:val="00B0F0"/>
          </w:rPr>
          <w:t>VET Qualifications Register for Secondary Students 2025</w:t>
        </w:r>
      </w:hyperlink>
    </w:p>
    <w:p w14:paraId="18568473" w14:textId="77777777" w:rsidR="004B34D9" w:rsidRDefault="004B34D9" w:rsidP="004B34D9">
      <w:pPr>
        <w:pStyle w:val="Paragraph"/>
        <w:rPr>
          <w:rStyle w:val="Hyperlink"/>
          <w:color w:val="auto"/>
          <w:u w:val="none"/>
        </w:rPr>
      </w:pPr>
      <w:r w:rsidRPr="00BC202F">
        <w:t xml:space="preserve">Secondary school students undertaking VET courses, including apprenticeships and traineeships, as part of a publicly funded </w:t>
      </w:r>
      <w:r>
        <w:t>VET delivered to secondary students</w:t>
      </w:r>
      <w:r w:rsidRPr="00BC202F">
        <w:t xml:space="preserve"> program (year 11 and 12 only) </w:t>
      </w:r>
      <w:r>
        <w:t xml:space="preserve">as per the </w:t>
      </w:r>
      <w:hyperlink r:id="rId19" w:history="1">
        <w:r>
          <w:rPr>
            <w:rStyle w:val="Hyperlink"/>
          </w:rPr>
          <w:t>VET Delivered to Secondary Students Funded list 2025</w:t>
        </w:r>
      </w:hyperlink>
      <w:r>
        <w:rPr>
          <w:rStyle w:val="Hyperlink"/>
          <w:u w:val="none"/>
        </w:rPr>
        <w:t xml:space="preserve"> </w:t>
      </w:r>
      <w:r w:rsidRPr="00256B71">
        <w:t>are</w:t>
      </w:r>
      <w:r w:rsidRPr="00BC202F">
        <w:t xml:space="preserve"> exempt from course and resource fees. </w:t>
      </w:r>
      <w:r>
        <w:t xml:space="preserve">  </w:t>
      </w:r>
    </w:p>
    <w:p w14:paraId="4A23FAC8" w14:textId="77777777" w:rsidR="004B34D9" w:rsidRDefault="004B34D9" w:rsidP="004B34D9">
      <w:pPr>
        <w:pStyle w:val="Paragraph"/>
        <w:rPr>
          <w:rStyle w:val="Hyperlink"/>
          <w:color w:val="auto"/>
          <w:u w:val="none"/>
        </w:rPr>
      </w:pPr>
      <w:bookmarkStart w:id="1" w:name="_Hlk86908314"/>
      <w:r>
        <w:rPr>
          <w:rStyle w:val="Hyperlink"/>
          <w:color w:val="auto"/>
          <w:u w:val="none"/>
        </w:rPr>
        <w:t>Second</w:t>
      </w:r>
      <w:r w:rsidRPr="00662B0A">
        <w:rPr>
          <w:rStyle w:val="Hyperlink"/>
          <w:color w:val="auto"/>
          <w:u w:val="none"/>
        </w:rPr>
        <w:t>ary School student</w:t>
      </w:r>
      <w:r>
        <w:rPr>
          <w:rStyle w:val="Hyperlink"/>
          <w:color w:val="auto"/>
          <w:u w:val="none"/>
        </w:rPr>
        <w:t>s</w:t>
      </w:r>
      <w:r w:rsidRPr="00662B0A">
        <w:rPr>
          <w:rStyle w:val="Hyperlink"/>
          <w:color w:val="auto"/>
          <w:u w:val="none"/>
        </w:rPr>
        <w:t xml:space="preserve"> </w:t>
      </w:r>
      <w:r>
        <w:rPr>
          <w:rStyle w:val="Hyperlink"/>
          <w:color w:val="auto"/>
          <w:u w:val="none"/>
        </w:rPr>
        <w:t>who intend to study outside of the VET delivered to secondary students’ program</w:t>
      </w:r>
      <w:r w:rsidRPr="00662B0A">
        <w:rPr>
          <w:rStyle w:val="Hyperlink"/>
          <w:color w:val="auto"/>
          <w:u w:val="none"/>
        </w:rPr>
        <w:t>,</w:t>
      </w:r>
      <w:r>
        <w:rPr>
          <w:rStyle w:val="Hyperlink"/>
          <w:color w:val="auto"/>
          <w:u w:val="none"/>
        </w:rPr>
        <w:t xml:space="preserve"> will be</w:t>
      </w:r>
      <w:r w:rsidRPr="00662B0A">
        <w:rPr>
          <w:rStyle w:val="Hyperlink"/>
          <w:color w:val="auto"/>
          <w:u w:val="none"/>
        </w:rPr>
        <w:t xml:space="preserve"> charged at the rate of $</w:t>
      </w:r>
      <w:r>
        <w:rPr>
          <w:rStyle w:val="Hyperlink"/>
          <w:color w:val="auto"/>
          <w:u w:val="none"/>
        </w:rPr>
        <w:t>22.15</w:t>
      </w:r>
      <w:r w:rsidRPr="00662B0A">
        <w:rPr>
          <w:rStyle w:val="Hyperlink"/>
          <w:color w:val="auto"/>
          <w:u w:val="none"/>
        </w:rPr>
        <w:t xml:space="preserve"> per nominal hour, plus the applicable resource fees.</w:t>
      </w:r>
    </w:p>
    <w:p w14:paraId="61589DAD" w14:textId="77777777" w:rsidR="004B34D9" w:rsidRDefault="004B34D9" w:rsidP="004B34D9">
      <w:pPr>
        <w:pStyle w:val="Paragraph"/>
        <w:rPr>
          <w:rStyle w:val="Hyperlink"/>
          <w:color w:val="auto"/>
          <w:u w:val="none"/>
        </w:rPr>
      </w:pPr>
      <w:r>
        <w:rPr>
          <w:rStyle w:val="Hyperlink"/>
          <w:color w:val="auto"/>
          <w:u w:val="none"/>
        </w:rPr>
        <w:t xml:space="preserve">This does not apply to secondary school-aged </w:t>
      </w:r>
      <w:proofErr w:type="gramStart"/>
      <w:r>
        <w:rPr>
          <w:rStyle w:val="Hyperlink"/>
          <w:color w:val="auto"/>
          <w:u w:val="none"/>
        </w:rPr>
        <w:t>persons</w:t>
      </w:r>
      <w:proofErr w:type="gramEnd"/>
      <w:r>
        <w:rPr>
          <w:rStyle w:val="Hyperlink"/>
          <w:color w:val="auto"/>
          <w:u w:val="none"/>
        </w:rPr>
        <w:t xml:space="preserve"> who:</w:t>
      </w:r>
    </w:p>
    <w:p w14:paraId="1FA5D994" w14:textId="77777777" w:rsidR="004B34D9" w:rsidRDefault="004B34D9" w:rsidP="004B34D9">
      <w:pPr>
        <w:pStyle w:val="Paragraph"/>
        <w:numPr>
          <w:ilvl w:val="0"/>
          <w:numId w:val="15"/>
        </w:numPr>
        <w:rPr>
          <w:rStyle w:val="Hyperlink"/>
          <w:color w:val="auto"/>
          <w:u w:val="none"/>
        </w:rPr>
      </w:pPr>
      <w:r>
        <w:rPr>
          <w:rStyle w:val="Hyperlink"/>
          <w:color w:val="auto"/>
          <w:u w:val="none"/>
        </w:rPr>
        <w:t>are in their final year of secondary school and will not, after the completion of that year be enrolled at a secondary school: and</w:t>
      </w:r>
    </w:p>
    <w:p w14:paraId="3898D38A" w14:textId="77777777" w:rsidR="004B34D9" w:rsidRDefault="004B34D9" w:rsidP="004B34D9">
      <w:pPr>
        <w:pStyle w:val="Paragraph"/>
        <w:numPr>
          <w:ilvl w:val="0"/>
          <w:numId w:val="15"/>
        </w:numPr>
        <w:rPr>
          <w:rStyle w:val="Hyperlink"/>
          <w:color w:val="auto"/>
          <w:u w:val="none"/>
        </w:rPr>
      </w:pPr>
      <w:r>
        <w:rPr>
          <w:rStyle w:val="Hyperlink"/>
          <w:color w:val="auto"/>
          <w:u w:val="none"/>
        </w:rPr>
        <w:t>commence a course on or after 21 October 2025.</w:t>
      </w:r>
    </w:p>
    <w:p w14:paraId="59F827A1" w14:textId="77777777" w:rsidR="004B34D9" w:rsidRDefault="004B34D9" w:rsidP="004B34D9">
      <w:pPr>
        <w:pStyle w:val="Paragraph"/>
        <w:rPr>
          <w:rStyle w:val="Hyperlink"/>
          <w:color w:val="auto"/>
          <w:u w:val="none"/>
        </w:rPr>
      </w:pPr>
      <w:r>
        <w:rPr>
          <w:rStyle w:val="Hyperlink"/>
          <w:color w:val="auto"/>
          <w:u w:val="none"/>
        </w:rPr>
        <w:t xml:space="preserve">In 2025, </w:t>
      </w:r>
      <w:proofErr w:type="gramStart"/>
      <w:r>
        <w:rPr>
          <w:rStyle w:val="Hyperlink"/>
          <w:color w:val="auto"/>
          <w:u w:val="none"/>
        </w:rPr>
        <w:t>persons</w:t>
      </w:r>
      <w:proofErr w:type="gramEnd"/>
      <w:r>
        <w:rPr>
          <w:rStyle w:val="Hyperlink"/>
          <w:color w:val="auto"/>
          <w:u w:val="none"/>
        </w:rPr>
        <w:t xml:space="preserve"> in their final year of compulsory education were born between 1 July 2007 and 30 June 2008.</w:t>
      </w:r>
    </w:p>
    <w:p w14:paraId="201524CE" w14:textId="77777777" w:rsidR="004B34D9" w:rsidRPr="004A4014" w:rsidRDefault="004B34D9" w:rsidP="004B34D9">
      <w:pPr>
        <w:pStyle w:val="HeadingC"/>
        <w:rPr>
          <w:rFonts w:ascii="Arial" w:hAnsi="Arial" w:cs="Arial"/>
        </w:rPr>
      </w:pPr>
      <w:r>
        <w:rPr>
          <w:rFonts w:ascii="Arial" w:hAnsi="Arial" w:cs="Arial"/>
        </w:rPr>
        <w:t xml:space="preserve">Fee-Free courses agreement </w:t>
      </w:r>
      <w:r w:rsidRPr="004A4014">
        <w:rPr>
          <w:rFonts w:ascii="Arial" w:hAnsi="Arial" w:cs="Arial"/>
        </w:rPr>
        <w:t xml:space="preserve"> </w:t>
      </w:r>
    </w:p>
    <w:p w14:paraId="6631BA17" w14:textId="77777777" w:rsidR="004B34D9" w:rsidRDefault="004B34D9" w:rsidP="004B34D9">
      <w:pPr>
        <w:pStyle w:val="Paragraph"/>
      </w:pPr>
      <w:r>
        <w:rPr>
          <w:rStyle w:val="Hyperlink"/>
          <w:color w:val="auto"/>
          <w:u w:val="none"/>
        </w:rPr>
        <w:t xml:space="preserve">Under this agreement students who enrol in a Category 6 – Fee-free courses on or before 31 December 2025 are entitled to the fee-free arrangement each year over the entire duration of the course. </w:t>
      </w:r>
      <w:bookmarkEnd w:id="1"/>
    </w:p>
    <w:p w14:paraId="1CBCFA98" w14:textId="77777777" w:rsidR="004B34D9" w:rsidRPr="004A4014" w:rsidRDefault="004B34D9" w:rsidP="004B34D9">
      <w:pPr>
        <w:pStyle w:val="HeadingC"/>
        <w:rPr>
          <w:rFonts w:ascii="Arial" w:hAnsi="Arial" w:cs="Arial"/>
        </w:rPr>
      </w:pPr>
      <w:r w:rsidRPr="004A4014">
        <w:rPr>
          <w:rFonts w:ascii="Arial" w:hAnsi="Arial" w:cs="Arial"/>
        </w:rPr>
        <w:t xml:space="preserve">Interstate (multijurisdictional) students </w:t>
      </w:r>
    </w:p>
    <w:p w14:paraId="18E664D3" w14:textId="77777777" w:rsidR="004B34D9" w:rsidRDefault="004B34D9" w:rsidP="004B34D9">
      <w:pPr>
        <w:pStyle w:val="Paragraph"/>
        <w:contextualSpacing/>
      </w:pPr>
      <w:r w:rsidRPr="004C4AE7">
        <w:t>Students residing in other Australian States or Territories are charged at Fee Rate of $</w:t>
      </w:r>
      <w:r>
        <w:t>22.15</w:t>
      </w:r>
      <w:r w:rsidRPr="004C4AE7">
        <w:t xml:space="preserve"> per nominal hour, plus applicable resource fees </w:t>
      </w:r>
      <w:r w:rsidRPr="00974DF0">
        <w:t xml:space="preserve">or $11.08 </w:t>
      </w:r>
      <w:r w:rsidRPr="004C4AE7">
        <w:t>per nominal hour for RPL.</w:t>
      </w:r>
    </w:p>
    <w:p w14:paraId="59B6B0B1" w14:textId="77777777" w:rsidR="004B34D9" w:rsidRDefault="004B34D9" w:rsidP="004B34D9">
      <w:pPr>
        <w:pStyle w:val="Paragraph"/>
        <w:contextualSpacing/>
      </w:pPr>
      <w:r>
        <w:lastRenderedPageBreak/>
        <w:t>Interstate (multijurisdictional) a</w:t>
      </w:r>
      <w:r w:rsidRPr="004C4AE7">
        <w:t xml:space="preserve">pprentices and trainees may be eligible for publicly funded training if the: </w:t>
      </w:r>
    </w:p>
    <w:p w14:paraId="50A55F6D" w14:textId="77777777" w:rsidR="004B34D9" w:rsidRDefault="004B34D9" w:rsidP="004B34D9">
      <w:pPr>
        <w:pStyle w:val="Paragraph"/>
        <w:ind w:firstLine="720"/>
        <w:contextualSpacing/>
      </w:pPr>
      <w:r w:rsidRPr="004C4AE7">
        <w:t xml:space="preserve">• training contract is registered in Western Australia; and </w:t>
      </w:r>
    </w:p>
    <w:p w14:paraId="734AAC5D" w14:textId="77777777" w:rsidR="004B34D9" w:rsidRDefault="004B34D9" w:rsidP="004B34D9">
      <w:pPr>
        <w:pStyle w:val="Paragraph"/>
        <w:ind w:firstLine="720"/>
        <w:contextualSpacing/>
      </w:pPr>
      <w:r w:rsidRPr="004C4AE7">
        <w:t xml:space="preserve">• workplace is in Western Australia; and </w:t>
      </w:r>
    </w:p>
    <w:p w14:paraId="12C36ED6" w14:textId="77777777" w:rsidR="004B34D9" w:rsidRPr="004C4AE7" w:rsidRDefault="004B34D9" w:rsidP="004B34D9">
      <w:pPr>
        <w:pStyle w:val="Paragraph"/>
        <w:ind w:left="720"/>
        <w:contextualSpacing/>
      </w:pPr>
      <w:r w:rsidRPr="004C4AE7">
        <w:t>• training occurs in Western Australia unless the training is only available in another state or territory.</w:t>
      </w:r>
    </w:p>
    <w:p w14:paraId="6E7FD5BD" w14:textId="77777777" w:rsidR="004B34D9" w:rsidRPr="004A4014" w:rsidRDefault="004B34D9" w:rsidP="004B34D9">
      <w:pPr>
        <w:pStyle w:val="HeadingC"/>
        <w:rPr>
          <w:rFonts w:ascii="Arial" w:hAnsi="Arial" w:cs="Arial"/>
        </w:rPr>
      </w:pPr>
      <w:r w:rsidRPr="004A4014">
        <w:rPr>
          <w:rFonts w:ascii="Arial" w:hAnsi="Arial" w:cs="Arial"/>
        </w:rPr>
        <w:t>Temporary residents</w:t>
      </w:r>
    </w:p>
    <w:p w14:paraId="3937B73C" w14:textId="77777777" w:rsidR="004B34D9" w:rsidRDefault="004B34D9" w:rsidP="004B34D9">
      <w:pPr>
        <w:pStyle w:val="Paragraph"/>
      </w:pPr>
      <w:proofErr w:type="gramStart"/>
      <w:r w:rsidRPr="00BC202F">
        <w:t>Persons</w:t>
      </w:r>
      <w:proofErr w:type="gramEnd"/>
      <w:r w:rsidRPr="00BC202F">
        <w:t xml:space="preserve"> holding a temporary visa (and secondary holders of a temporary visa) may be eligible for state government subsidised training, depending on the visa type, and may be eligible for fee waivers and </w:t>
      </w:r>
    </w:p>
    <w:p w14:paraId="297D5124" w14:textId="77777777" w:rsidR="004B34D9" w:rsidRPr="00BC202F" w:rsidRDefault="004B34D9" w:rsidP="004B34D9">
      <w:pPr>
        <w:pStyle w:val="Paragraph"/>
        <w:rPr>
          <w:u w:val="single"/>
        </w:rPr>
      </w:pPr>
      <w:proofErr w:type="gramStart"/>
      <w:r w:rsidRPr="00BC202F">
        <w:t>concessions</w:t>
      </w:r>
      <w:proofErr w:type="gramEnd"/>
      <w:r w:rsidRPr="00BC202F">
        <w:t xml:space="preserve">. </w:t>
      </w:r>
      <w:r>
        <w:br/>
      </w:r>
      <w:r w:rsidRPr="00BC202F">
        <w:t xml:space="preserve">Where the temporary visa holder is not eligible for subsidised training, tuition fees will be charged at the </w:t>
      </w:r>
      <w:r>
        <w:t xml:space="preserve">Fee </w:t>
      </w:r>
      <w:r w:rsidRPr="0026417E">
        <w:t>Rate of $</w:t>
      </w:r>
      <w:r>
        <w:t>22.15</w:t>
      </w:r>
      <w:r w:rsidRPr="0026417E">
        <w:t xml:space="preserve"> </w:t>
      </w:r>
      <w:r w:rsidRPr="005C67E7">
        <w:t>per nominal hour plus, applicable resource fee</w:t>
      </w:r>
      <w:r>
        <w:t xml:space="preserve">, </w:t>
      </w:r>
      <w:r w:rsidRPr="00974DF0">
        <w:t xml:space="preserve">or $11.08 </w:t>
      </w:r>
      <w:r w:rsidRPr="0026417E">
        <w:t xml:space="preserve">per </w:t>
      </w:r>
      <w:r w:rsidRPr="005C67E7">
        <w:t>nominal hour for RPL.</w:t>
      </w:r>
      <w:r w:rsidRPr="00BC202F">
        <w:t xml:space="preserve"> </w:t>
      </w:r>
    </w:p>
    <w:p w14:paraId="479E8B79" w14:textId="77777777" w:rsidR="004B34D9" w:rsidRDefault="004B34D9" w:rsidP="004B34D9">
      <w:pPr>
        <w:pStyle w:val="Paragraph"/>
      </w:pPr>
      <w:r w:rsidRPr="00BC202F">
        <w:t xml:space="preserve">Information about temporary visa holder’s eligibility for funded training can be found </w:t>
      </w:r>
      <w:r>
        <w:t xml:space="preserve">in the </w:t>
      </w:r>
      <w:hyperlink r:id="rId20" w:history="1">
        <w:r w:rsidRPr="009136C0">
          <w:rPr>
            <w:rStyle w:val="Hyperlink"/>
          </w:rPr>
          <w:t>DTWD Visa Subclass Guide</w:t>
        </w:r>
      </w:hyperlink>
      <w:r>
        <w:t xml:space="preserve"> and </w:t>
      </w:r>
      <w:hyperlink r:id="rId21" w:history="1">
        <w:r>
          <w:rPr>
            <w:rStyle w:val="Hyperlink"/>
          </w:rPr>
          <w:t>DTWD Fees and Charges Policy 2025</w:t>
        </w:r>
      </w:hyperlink>
      <w:r>
        <w:t xml:space="preserve">. </w:t>
      </w:r>
    </w:p>
    <w:p w14:paraId="2859800B" w14:textId="77777777" w:rsidR="004B34D9" w:rsidRPr="004A4014" w:rsidRDefault="004B34D9" w:rsidP="004B34D9">
      <w:pPr>
        <w:pStyle w:val="HeadingC"/>
        <w:rPr>
          <w:rFonts w:ascii="Arial" w:hAnsi="Arial" w:cs="Arial"/>
        </w:rPr>
      </w:pPr>
      <w:r>
        <w:rPr>
          <w:rFonts w:ascii="Arial" w:hAnsi="Arial" w:cs="Arial"/>
        </w:rPr>
        <w:t>WA Residents</w:t>
      </w:r>
    </w:p>
    <w:p w14:paraId="0C91ECBB" w14:textId="77777777" w:rsidR="004B34D9" w:rsidRDefault="004B34D9" w:rsidP="004B34D9">
      <w:pPr>
        <w:pStyle w:val="Paragraph"/>
      </w:pPr>
      <w:r>
        <w:t xml:space="preserve">Where WA residents are not eligible for subsidised training and are joining a class that is already scheduled for students under subsidised training, tuition fees will be charged at the Fee Rate of </w:t>
      </w:r>
      <w:r w:rsidRPr="0026417E">
        <w:t>$</w:t>
      </w:r>
      <w:r>
        <w:t>22.15</w:t>
      </w:r>
      <w:r w:rsidRPr="0026417E">
        <w:t xml:space="preserve"> </w:t>
      </w:r>
      <w:r w:rsidRPr="005C67E7">
        <w:t>per nominal hour plus</w:t>
      </w:r>
      <w:r>
        <w:t xml:space="preserve"> </w:t>
      </w:r>
      <w:r w:rsidRPr="005C67E7">
        <w:t>applicable resource</w:t>
      </w:r>
      <w:r>
        <w:t xml:space="preserve"> fee</w:t>
      </w:r>
      <w:r w:rsidRPr="005C67E7">
        <w:t>.</w:t>
      </w:r>
      <w:r w:rsidRPr="00BC202F">
        <w:t xml:space="preserve"> </w:t>
      </w:r>
    </w:p>
    <w:p w14:paraId="55338764" w14:textId="77777777" w:rsidR="004B34D9" w:rsidRPr="004A4014" w:rsidRDefault="004B34D9" w:rsidP="004B34D9">
      <w:pPr>
        <w:pStyle w:val="HeadingC"/>
        <w:rPr>
          <w:rFonts w:ascii="Arial" w:hAnsi="Arial" w:cs="Arial"/>
        </w:rPr>
      </w:pPr>
      <w:r w:rsidRPr="004A4014">
        <w:rPr>
          <w:rFonts w:ascii="Arial" w:hAnsi="Arial" w:cs="Arial"/>
        </w:rPr>
        <w:t xml:space="preserve">VET Student Loans </w:t>
      </w:r>
    </w:p>
    <w:p w14:paraId="34DDEFC7" w14:textId="77777777" w:rsidR="004B34D9" w:rsidRDefault="004B34D9" w:rsidP="004B34D9">
      <w:pPr>
        <w:pStyle w:val="Paragraph"/>
        <w:rPr>
          <w:i/>
        </w:rPr>
      </w:pPr>
      <w:r w:rsidRPr="00D21913">
        <w:rPr>
          <w:lang w:val="en"/>
        </w:rPr>
        <w:t>VET Student Loans</w:t>
      </w:r>
      <w:r>
        <w:rPr>
          <w:lang w:val="en"/>
        </w:rPr>
        <w:t>,</w:t>
      </w:r>
      <w:r w:rsidRPr="00D21913">
        <w:rPr>
          <w:lang w:val="en"/>
        </w:rPr>
        <w:t xml:space="preserve"> </w:t>
      </w:r>
      <w:r>
        <w:rPr>
          <w:lang w:val="en"/>
        </w:rPr>
        <w:t>c</w:t>
      </w:r>
      <w:r w:rsidRPr="00D21913">
        <w:rPr>
          <w:lang w:val="en"/>
        </w:rPr>
        <w:t>ommence</w:t>
      </w:r>
      <w:r>
        <w:rPr>
          <w:lang w:val="en"/>
        </w:rPr>
        <w:t>d</w:t>
      </w:r>
      <w:r w:rsidRPr="00D21913">
        <w:rPr>
          <w:lang w:val="en"/>
        </w:rPr>
        <w:t xml:space="preserve"> on 1 January 2017,</w:t>
      </w:r>
      <w:r>
        <w:rPr>
          <w:lang w:val="en"/>
        </w:rPr>
        <w:t xml:space="preserve"> </w:t>
      </w:r>
      <w:r w:rsidRPr="00D21913">
        <w:t xml:space="preserve">Information on VET Student Loans is available at </w:t>
      </w:r>
      <w:hyperlink r:id="rId22" w:history="1">
        <w:r>
          <w:rPr>
            <w:rStyle w:val="Hyperlink"/>
          </w:rPr>
          <w:t>https://www.dewr.gov.au/vet-student-loans</w:t>
        </w:r>
      </w:hyperlink>
      <w:r>
        <w:t xml:space="preserve"> and </w:t>
      </w:r>
      <w:hyperlink r:id="rId23" w:history="1">
        <w:r w:rsidRPr="00520001">
          <w:rPr>
            <w:rStyle w:val="Hyperlink"/>
          </w:rPr>
          <w:t>North Regional TAFE VET Student Loans</w:t>
        </w:r>
      </w:hyperlink>
      <w:r>
        <w:t xml:space="preserve"> with a list of approved courses, eligibility rules and How to Apply. </w:t>
      </w:r>
    </w:p>
    <w:p w14:paraId="41448713" w14:textId="77777777" w:rsidR="004B34D9" w:rsidRDefault="004B34D9" w:rsidP="004B34D9">
      <w:pPr>
        <w:rPr>
          <w:rFonts w:cs="Calibri"/>
          <w:color w:val="000000"/>
          <w:sz w:val="22"/>
          <w:szCs w:val="22"/>
        </w:rPr>
      </w:pPr>
    </w:p>
    <w:p w14:paraId="7CFEBF50" w14:textId="77777777" w:rsidR="004B34D9" w:rsidRDefault="004B34D9" w:rsidP="004B34D9">
      <w:pPr>
        <w:spacing w:after="160"/>
      </w:pPr>
      <w:r>
        <w:t>Document owner to complete</w:t>
      </w:r>
    </w:p>
    <w:tbl>
      <w:tblPr>
        <w:tblStyle w:val="TableGrid"/>
        <w:tblpPr w:leftFromText="180" w:rightFromText="180" w:vertAnchor="text" w:horzAnchor="margin" w:tblpY="54"/>
        <w:tblW w:w="102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18"/>
        <w:gridCol w:w="7083"/>
      </w:tblGrid>
      <w:tr w:rsidR="004B34D9" w:rsidRPr="005E725E" w14:paraId="5C42D470" w14:textId="77777777" w:rsidTr="00BA7010">
        <w:tc>
          <w:tcPr>
            <w:tcW w:w="3118" w:type="dxa"/>
            <w:tcMar>
              <w:top w:w="0" w:type="dxa"/>
              <w:bottom w:w="0" w:type="dxa"/>
            </w:tcMar>
          </w:tcPr>
          <w:p w14:paraId="53FE50FB" w14:textId="77777777" w:rsidR="004B34D9" w:rsidRPr="00275B01" w:rsidRDefault="004B34D9" w:rsidP="00BA7010">
            <w:pPr>
              <w:pStyle w:val="PolicyTableGreyText"/>
              <w:framePr w:hSpace="0" w:wrap="auto" w:vAnchor="margin" w:hAnchor="text" w:xAlign="left" w:yAlign="inline"/>
              <w:rPr>
                <w:rFonts w:ascii="Arial" w:hAnsi="Arial" w:cs="Arial"/>
              </w:rPr>
            </w:pPr>
            <w:r w:rsidRPr="00275B01">
              <w:rPr>
                <w:rFonts w:ascii="Arial" w:hAnsi="Arial" w:cs="Arial"/>
              </w:rPr>
              <w:t>Document owner</w:t>
            </w:r>
          </w:p>
        </w:tc>
        <w:tc>
          <w:tcPr>
            <w:tcW w:w="7083" w:type="dxa"/>
            <w:tcMar>
              <w:top w:w="0" w:type="dxa"/>
              <w:bottom w:w="0" w:type="dxa"/>
            </w:tcMar>
            <w:vAlign w:val="center"/>
          </w:tcPr>
          <w:p w14:paraId="5E757CD5" w14:textId="77777777" w:rsidR="004B34D9" w:rsidRPr="00275B01" w:rsidRDefault="004B34D9" w:rsidP="00BA7010">
            <w:pPr>
              <w:pStyle w:val="PolicyTableGreyText"/>
              <w:framePr w:hSpace="0" w:wrap="auto" w:vAnchor="margin" w:hAnchor="text" w:xAlign="left" w:yAlign="inline"/>
              <w:rPr>
                <w:rFonts w:ascii="Arial" w:hAnsi="Arial" w:cs="Arial"/>
              </w:rPr>
            </w:pPr>
            <w:r>
              <w:rPr>
                <w:rFonts w:ascii="Arial" w:hAnsi="Arial" w:cs="Arial"/>
              </w:rPr>
              <w:t>Manager Student Operations</w:t>
            </w:r>
          </w:p>
        </w:tc>
      </w:tr>
      <w:tr w:rsidR="004B34D9" w:rsidRPr="005E725E" w14:paraId="75E88A69" w14:textId="77777777" w:rsidTr="00BA7010">
        <w:tc>
          <w:tcPr>
            <w:tcW w:w="3118" w:type="dxa"/>
            <w:tcMar>
              <w:top w:w="0" w:type="dxa"/>
              <w:bottom w:w="0" w:type="dxa"/>
            </w:tcMar>
          </w:tcPr>
          <w:p w14:paraId="0ADCBD75" w14:textId="77777777" w:rsidR="004B34D9" w:rsidRPr="00275B01" w:rsidRDefault="004B34D9" w:rsidP="00BA7010">
            <w:pPr>
              <w:pStyle w:val="PolicyTableGreyText"/>
              <w:framePr w:hSpace="0" w:wrap="auto" w:vAnchor="margin" w:hAnchor="text" w:xAlign="left" w:yAlign="inline"/>
              <w:rPr>
                <w:rFonts w:ascii="Arial" w:hAnsi="Arial" w:cs="Arial"/>
              </w:rPr>
            </w:pPr>
            <w:r w:rsidRPr="00275B01">
              <w:rPr>
                <w:rFonts w:ascii="Arial" w:hAnsi="Arial" w:cs="Arial"/>
              </w:rPr>
              <w:t>Responsible committee</w:t>
            </w:r>
          </w:p>
        </w:tc>
        <w:tc>
          <w:tcPr>
            <w:tcW w:w="7083" w:type="dxa"/>
            <w:tcMar>
              <w:top w:w="0" w:type="dxa"/>
              <w:bottom w:w="0" w:type="dxa"/>
            </w:tcMar>
            <w:vAlign w:val="center"/>
          </w:tcPr>
          <w:p w14:paraId="515CF324" w14:textId="77777777" w:rsidR="004B34D9" w:rsidRPr="00275B01" w:rsidRDefault="004B34D9" w:rsidP="00BA7010">
            <w:pPr>
              <w:pStyle w:val="PolicyTableGreyText"/>
              <w:framePr w:hSpace="0" w:wrap="auto" w:vAnchor="margin" w:hAnchor="text" w:xAlign="left" w:yAlign="inline"/>
              <w:rPr>
                <w:rFonts w:ascii="Arial" w:hAnsi="Arial" w:cs="Arial"/>
              </w:rPr>
            </w:pPr>
            <w:r w:rsidRPr="00275B01">
              <w:rPr>
                <w:rFonts w:ascii="Arial" w:hAnsi="Arial" w:cs="Arial"/>
              </w:rPr>
              <w:t>Executive Management Team</w:t>
            </w:r>
          </w:p>
        </w:tc>
      </w:tr>
      <w:tr w:rsidR="004B34D9" w:rsidRPr="005E725E" w14:paraId="76F0FD2B" w14:textId="77777777" w:rsidTr="00BA7010">
        <w:tc>
          <w:tcPr>
            <w:tcW w:w="3118" w:type="dxa"/>
            <w:tcMar>
              <w:top w:w="0" w:type="dxa"/>
              <w:bottom w:w="0" w:type="dxa"/>
            </w:tcMar>
          </w:tcPr>
          <w:p w14:paraId="7512D248" w14:textId="77777777" w:rsidR="004B34D9" w:rsidRPr="00275B01" w:rsidRDefault="004B34D9" w:rsidP="00BA7010">
            <w:pPr>
              <w:pStyle w:val="PolicyTableGreyText"/>
              <w:framePr w:hSpace="0" w:wrap="auto" w:vAnchor="margin" w:hAnchor="text" w:xAlign="left" w:yAlign="inline"/>
              <w:rPr>
                <w:rFonts w:ascii="Arial" w:hAnsi="Arial" w:cs="Arial"/>
              </w:rPr>
            </w:pPr>
            <w:r w:rsidRPr="00275B01">
              <w:rPr>
                <w:rFonts w:ascii="Arial" w:hAnsi="Arial" w:cs="Arial"/>
              </w:rPr>
              <w:t>Responsible director</w:t>
            </w:r>
          </w:p>
        </w:tc>
        <w:tc>
          <w:tcPr>
            <w:tcW w:w="7083" w:type="dxa"/>
            <w:tcMar>
              <w:top w:w="0" w:type="dxa"/>
              <w:bottom w:w="0" w:type="dxa"/>
            </w:tcMar>
            <w:vAlign w:val="center"/>
          </w:tcPr>
          <w:p w14:paraId="6E1A02F9" w14:textId="77777777" w:rsidR="004B34D9" w:rsidRPr="00275B01" w:rsidRDefault="004B34D9" w:rsidP="00BA7010">
            <w:pPr>
              <w:pStyle w:val="PolicyTableGreyText"/>
              <w:framePr w:hSpace="0" w:wrap="auto" w:vAnchor="margin" w:hAnchor="text" w:xAlign="left" w:yAlign="inline"/>
              <w:rPr>
                <w:rFonts w:ascii="Arial" w:hAnsi="Arial" w:cs="Arial"/>
              </w:rPr>
            </w:pPr>
            <w:r w:rsidRPr="00275B01">
              <w:rPr>
                <w:rFonts w:ascii="Arial" w:hAnsi="Arial" w:cs="Arial"/>
              </w:rPr>
              <w:t>Director Organisational Services</w:t>
            </w:r>
          </w:p>
        </w:tc>
      </w:tr>
      <w:tr w:rsidR="004B34D9" w:rsidRPr="005E725E" w14:paraId="385BE87A" w14:textId="77777777" w:rsidTr="00BA7010">
        <w:trPr>
          <w:trHeight w:val="2511"/>
        </w:trPr>
        <w:tc>
          <w:tcPr>
            <w:tcW w:w="3118" w:type="dxa"/>
            <w:tcMar>
              <w:top w:w="0" w:type="dxa"/>
              <w:bottom w:w="0" w:type="dxa"/>
            </w:tcMar>
          </w:tcPr>
          <w:p w14:paraId="162D5E6C" w14:textId="77777777" w:rsidR="004B34D9" w:rsidRPr="00275B01" w:rsidRDefault="004B34D9" w:rsidP="00BA7010">
            <w:pPr>
              <w:pStyle w:val="PolicyTableGreyText"/>
              <w:framePr w:hSpace="0" w:wrap="auto" w:vAnchor="margin" w:hAnchor="text" w:xAlign="left" w:yAlign="inline"/>
              <w:rPr>
                <w:rFonts w:ascii="Arial" w:hAnsi="Arial" w:cs="Arial"/>
              </w:rPr>
            </w:pPr>
            <w:r w:rsidRPr="00275B01">
              <w:rPr>
                <w:rFonts w:ascii="Arial" w:hAnsi="Arial" w:cs="Arial"/>
              </w:rPr>
              <w:t>Related policies and documents</w:t>
            </w:r>
          </w:p>
        </w:tc>
        <w:tc>
          <w:tcPr>
            <w:tcW w:w="7083" w:type="dxa"/>
            <w:tcMar>
              <w:top w:w="0" w:type="dxa"/>
              <w:bottom w:w="0" w:type="dxa"/>
            </w:tcMar>
            <w:vAlign w:val="center"/>
          </w:tcPr>
          <w:p w14:paraId="658C1C31" w14:textId="77777777" w:rsidR="004B34D9" w:rsidRDefault="004B34D9" w:rsidP="00BA7010">
            <w:pPr>
              <w:pStyle w:val="PolicyTableHyperlink"/>
              <w:framePr w:hSpace="0" w:wrap="auto" w:vAnchor="margin" w:hAnchor="text" w:xAlign="left" w:yAlign="inline"/>
            </w:pPr>
            <w:hyperlink r:id="rId24" w:history="1">
              <w:r>
                <w:rPr>
                  <w:rStyle w:val="Hyperlink"/>
                </w:rPr>
                <w:t>2025 DTWD VET Fees and Charges Policy</w:t>
              </w:r>
            </w:hyperlink>
          </w:p>
          <w:p w14:paraId="4B225E2A" w14:textId="77777777" w:rsidR="004B34D9" w:rsidRPr="00417D94" w:rsidRDefault="004B34D9" w:rsidP="00BA7010">
            <w:pPr>
              <w:pStyle w:val="PolicyTableHyperlink"/>
              <w:framePr w:hSpace="0" w:wrap="auto" w:vAnchor="margin" w:hAnchor="text" w:xAlign="left" w:yAlign="inline"/>
              <w:rPr>
                <w:rStyle w:val="Hyperlink"/>
                <w:rFonts w:asciiTheme="majorHAnsi" w:hAnsiTheme="majorHAnsi" w:cstheme="majorHAnsi"/>
              </w:rPr>
            </w:pPr>
            <w:hyperlink r:id="rId25" w:history="1">
              <w:r>
                <w:rPr>
                  <w:rStyle w:val="Hyperlink"/>
                  <w:rFonts w:asciiTheme="majorHAnsi" w:hAnsiTheme="majorHAnsi" w:cstheme="majorHAnsi"/>
                </w:rPr>
                <w:t>DTWD VET delivered to Secondary Students funded list for 2025 Policy</w:t>
              </w:r>
            </w:hyperlink>
          </w:p>
          <w:p w14:paraId="00834D59" w14:textId="77777777" w:rsidR="004B34D9" w:rsidRDefault="004B34D9" w:rsidP="00BA7010">
            <w:pPr>
              <w:pStyle w:val="PolicyTableHyperlink"/>
              <w:framePr w:hSpace="0" w:wrap="auto" w:vAnchor="margin" w:hAnchor="text" w:xAlign="left" w:yAlign="inline"/>
              <w:rPr>
                <w:rStyle w:val="Hyperlink"/>
              </w:rPr>
            </w:pPr>
            <w:hyperlink r:id="rId26" w:history="1">
              <w:r>
                <w:rPr>
                  <w:rStyle w:val="Hyperlink"/>
                </w:rPr>
                <w:t>VET Delivered to Secondary Students Funded list 2025</w:t>
              </w:r>
            </w:hyperlink>
          </w:p>
          <w:p w14:paraId="483B0BE0" w14:textId="77777777" w:rsidR="004B34D9" w:rsidRDefault="004B34D9" w:rsidP="00BA7010">
            <w:pPr>
              <w:pStyle w:val="PolicyTableHyperlink"/>
              <w:framePr w:hSpace="0" w:wrap="auto" w:vAnchor="margin" w:hAnchor="text" w:xAlign="left" w:yAlign="inline"/>
            </w:pPr>
            <w:hyperlink r:id="rId27" w:history="1">
              <w:r>
                <w:rPr>
                  <w:rStyle w:val="Hyperlink"/>
                </w:rPr>
                <w:t>Student Withdrawal and Fee Refund Policy</w:t>
              </w:r>
            </w:hyperlink>
          </w:p>
          <w:p w14:paraId="1C43613A" w14:textId="77777777" w:rsidR="004B34D9" w:rsidRPr="00417D94" w:rsidRDefault="004B34D9" w:rsidP="00BA7010">
            <w:pPr>
              <w:pStyle w:val="PolicyTableHyperlink"/>
              <w:framePr w:hSpace="0" w:wrap="auto" w:vAnchor="margin" w:hAnchor="text" w:xAlign="left" w:yAlign="inline"/>
              <w:rPr>
                <w:rStyle w:val="Hyperlink"/>
                <w:rFonts w:asciiTheme="majorHAnsi" w:hAnsiTheme="majorHAnsi" w:cstheme="majorHAnsi"/>
              </w:rPr>
            </w:pPr>
            <w:r w:rsidRPr="00417D94">
              <w:rPr>
                <w:rStyle w:val="Hyperlink"/>
                <w:rFonts w:asciiTheme="majorHAnsi" w:hAnsiTheme="majorHAnsi" w:cstheme="majorHAnsi"/>
              </w:rPr>
              <w:fldChar w:fldCharType="begin"/>
            </w:r>
            <w:r w:rsidRPr="00417D94">
              <w:rPr>
                <w:rStyle w:val="Hyperlink"/>
                <w:rFonts w:asciiTheme="majorHAnsi" w:hAnsiTheme="majorHAnsi" w:cstheme="majorHAnsi"/>
              </w:rPr>
              <w:instrText xml:space="preserve"> HYPERLINK "https://www.northregionaltafe.wa.edu.au/current-students/policies-and-responsibilities" </w:instrText>
            </w:r>
            <w:r w:rsidRPr="00417D94">
              <w:rPr>
                <w:rStyle w:val="Hyperlink"/>
                <w:rFonts w:asciiTheme="majorHAnsi" w:hAnsiTheme="majorHAnsi" w:cstheme="majorHAnsi"/>
              </w:rPr>
            </w:r>
            <w:r w:rsidRPr="00417D94">
              <w:rPr>
                <w:rStyle w:val="Hyperlink"/>
                <w:rFonts w:asciiTheme="majorHAnsi" w:hAnsiTheme="majorHAnsi" w:cstheme="majorHAnsi"/>
              </w:rPr>
              <w:fldChar w:fldCharType="separate"/>
            </w:r>
            <w:r w:rsidRPr="00417D94">
              <w:rPr>
                <w:rStyle w:val="Hyperlink"/>
                <w:rFonts w:asciiTheme="majorHAnsi" w:hAnsiTheme="majorHAnsi" w:cstheme="majorHAnsi"/>
              </w:rPr>
              <w:t xml:space="preserve">Terms and Conditions of Enrolment </w:t>
            </w:r>
          </w:p>
          <w:p w14:paraId="5FF5ACA2" w14:textId="77777777" w:rsidR="004B34D9" w:rsidRPr="00417D94" w:rsidRDefault="004B34D9" w:rsidP="00BA7010">
            <w:pPr>
              <w:pStyle w:val="PolicyTableHyperlink"/>
              <w:framePr w:hSpace="0" w:wrap="auto" w:vAnchor="margin" w:hAnchor="text" w:xAlign="left" w:yAlign="inline"/>
              <w:rPr>
                <w:rStyle w:val="Hyperlink"/>
                <w:rFonts w:asciiTheme="majorHAnsi" w:hAnsiTheme="majorHAnsi" w:cstheme="majorHAnsi"/>
              </w:rPr>
            </w:pPr>
            <w:r w:rsidRPr="00417D94">
              <w:rPr>
                <w:rStyle w:val="Hyperlink"/>
                <w:rFonts w:asciiTheme="majorHAnsi" w:hAnsiTheme="majorHAnsi" w:cstheme="majorHAnsi"/>
              </w:rPr>
              <w:fldChar w:fldCharType="end"/>
            </w:r>
            <w:hyperlink r:id="rId28" w:history="1">
              <w:r w:rsidRPr="00417D94">
                <w:rPr>
                  <w:rStyle w:val="Hyperlink"/>
                  <w:rFonts w:asciiTheme="majorHAnsi" w:hAnsiTheme="majorHAnsi" w:cstheme="majorHAnsi"/>
                </w:rPr>
                <w:t>DTWD advice - Visa Subclass Guide for VET Mainstream Courses</w:t>
              </w:r>
            </w:hyperlink>
          </w:p>
          <w:p w14:paraId="6EECB663" w14:textId="77777777" w:rsidR="004B34D9" w:rsidRPr="00417D94" w:rsidRDefault="004B34D9" w:rsidP="00BA7010">
            <w:pPr>
              <w:pStyle w:val="PolicyTableHyperlink"/>
              <w:framePr w:hSpace="0" w:wrap="auto" w:vAnchor="margin" w:hAnchor="text" w:xAlign="left" w:yAlign="inline"/>
              <w:rPr>
                <w:rStyle w:val="Hyperlink"/>
                <w:rFonts w:asciiTheme="majorHAnsi" w:hAnsiTheme="majorHAnsi" w:cstheme="majorHAnsi"/>
              </w:rPr>
            </w:pPr>
            <w:hyperlink r:id="rId29" w:history="1">
              <w:r w:rsidRPr="00417D94">
                <w:rPr>
                  <w:rStyle w:val="Hyperlink"/>
                  <w:rFonts w:asciiTheme="majorHAnsi" w:hAnsiTheme="majorHAnsi" w:cstheme="majorHAnsi"/>
                </w:rPr>
                <w:t>VET Student Loans Approved Courses and Eligibility</w:t>
              </w:r>
            </w:hyperlink>
          </w:p>
          <w:p w14:paraId="0A1DF79E" w14:textId="77777777" w:rsidR="004B34D9" w:rsidRDefault="004B34D9" w:rsidP="00BA7010">
            <w:pPr>
              <w:pStyle w:val="PolicyTableHyperlink"/>
              <w:framePr w:hSpace="0" w:wrap="auto" w:vAnchor="margin" w:hAnchor="text" w:xAlign="left" w:yAlign="inline"/>
              <w:rPr>
                <w:rStyle w:val="Hyperlink"/>
                <w:rFonts w:asciiTheme="majorHAnsi" w:hAnsiTheme="majorHAnsi" w:cstheme="majorHAnsi"/>
              </w:rPr>
            </w:pPr>
            <w:hyperlink r:id="rId30" w:history="1">
              <w:r w:rsidRPr="00417D94">
                <w:rPr>
                  <w:rStyle w:val="Hyperlink"/>
                  <w:rFonts w:asciiTheme="majorHAnsi" w:hAnsiTheme="majorHAnsi" w:cstheme="majorHAnsi"/>
                </w:rPr>
                <w:t>Fee Credit Application</w:t>
              </w:r>
            </w:hyperlink>
          </w:p>
          <w:p w14:paraId="3AB1216B" w14:textId="77777777" w:rsidR="004B34D9" w:rsidRPr="00417D94" w:rsidRDefault="004B34D9" w:rsidP="00BA7010">
            <w:pPr>
              <w:pStyle w:val="PolicyTableHyperlink"/>
              <w:framePr w:hSpace="0" w:wrap="auto" w:vAnchor="margin" w:hAnchor="text" w:xAlign="left" w:yAlign="inline"/>
              <w:rPr>
                <w:rFonts w:asciiTheme="majorHAnsi" w:hAnsiTheme="majorHAnsi" w:cstheme="majorHAnsi"/>
              </w:rPr>
            </w:pPr>
            <w:hyperlink r:id="rId31" w:history="1">
              <w:r w:rsidRPr="002D5B10">
                <w:rPr>
                  <w:rStyle w:val="Hyperlink"/>
                  <w:rFonts w:asciiTheme="majorHAnsi" w:hAnsiTheme="majorHAnsi" w:cstheme="majorHAnsi"/>
                </w:rPr>
                <w:t>General Provisions- For the Purchasing of Training Services from TAFE Colleges</w:t>
              </w:r>
            </w:hyperlink>
          </w:p>
        </w:tc>
      </w:tr>
    </w:tbl>
    <w:p w14:paraId="38F26BA9" w14:textId="77777777" w:rsidR="004B34D9" w:rsidRDefault="004B34D9" w:rsidP="004B34D9"/>
    <w:p w14:paraId="4718F5FB" w14:textId="77777777" w:rsidR="004B34D9" w:rsidRDefault="004B34D9" w:rsidP="004B34D9">
      <w:pPr>
        <w:spacing w:after="160"/>
      </w:pPr>
      <w:r>
        <w:t>Executive staff to complete</w:t>
      </w:r>
    </w:p>
    <w:tbl>
      <w:tblPr>
        <w:tblStyle w:val="TableGrid"/>
        <w:tblpPr w:leftFromText="180" w:rightFromText="180" w:vertAnchor="text" w:horzAnchor="margin" w:tblpY="-3"/>
        <w:tblW w:w="1035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25"/>
        <w:gridCol w:w="7229"/>
      </w:tblGrid>
      <w:tr w:rsidR="004B34D9" w:rsidRPr="005E725E" w14:paraId="5D244C8D" w14:textId="77777777" w:rsidTr="00BA7010">
        <w:tc>
          <w:tcPr>
            <w:tcW w:w="3125" w:type="dxa"/>
            <w:tcMar>
              <w:top w:w="0" w:type="dxa"/>
              <w:bottom w:w="0" w:type="dxa"/>
            </w:tcMar>
          </w:tcPr>
          <w:p w14:paraId="23A171E1" w14:textId="77777777" w:rsidR="004B34D9" w:rsidRPr="000C3E0A" w:rsidRDefault="004B34D9" w:rsidP="00BA7010">
            <w:pPr>
              <w:pStyle w:val="PolicyTableGreyText"/>
              <w:framePr w:hSpace="0" w:wrap="auto" w:vAnchor="margin" w:hAnchor="text" w:xAlign="left" w:yAlign="inline"/>
              <w:rPr>
                <w:rFonts w:ascii="Arial" w:hAnsi="Arial" w:cs="Arial"/>
              </w:rPr>
            </w:pPr>
            <w:r>
              <w:rPr>
                <w:rFonts w:ascii="Arial" w:hAnsi="Arial" w:cs="Arial"/>
              </w:rPr>
              <w:t>Date approved</w:t>
            </w:r>
          </w:p>
        </w:tc>
        <w:tc>
          <w:tcPr>
            <w:tcW w:w="7229" w:type="dxa"/>
            <w:tcMar>
              <w:top w:w="0" w:type="dxa"/>
              <w:bottom w:w="0" w:type="dxa"/>
            </w:tcMar>
            <w:vAlign w:val="center"/>
          </w:tcPr>
          <w:p w14:paraId="039A9A76" w14:textId="77777777" w:rsidR="004B34D9" w:rsidRPr="000C3E0A" w:rsidRDefault="004B34D9" w:rsidP="00BA7010">
            <w:pPr>
              <w:pStyle w:val="PolicyTableGreyText"/>
              <w:framePr w:hSpace="0" w:wrap="auto" w:vAnchor="margin" w:hAnchor="text" w:xAlign="left" w:yAlign="inline"/>
              <w:rPr>
                <w:rFonts w:ascii="Arial" w:hAnsi="Arial" w:cs="Arial"/>
              </w:rPr>
            </w:pPr>
            <w:r>
              <w:rPr>
                <w:rFonts w:ascii="Arial" w:hAnsi="Arial" w:cs="Arial"/>
              </w:rPr>
              <w:t>5 December 2024</w:t>
            </w:r>
          </w:p>
        </w:tc>
      </w:tr>
      <w:tr w:rsidR="004B34D9" w:rsidRPr="005E725E" w14:paraId="574F0C3B" w14:textId="77777777" w:rsidTr="00BA7010">
        <w:tc>
          <w:tcPr>
            <w:tcW w:w="3125" w:type="dxa"/>
            <w:tcMar>
              <w:top w:w="0" w:type="dxa"/>
              <w:bottom w:w="0" w:type="dxa"/>
            </w:tcMar>
          </w:tcPr>
          <w:p w14:paraId="54999317" w14:textId="77777777" w:rsidR="004B34D9" w:rsidRPr="000C3E0A" w:rsidRDefault="004B34D9" w:rsidP="00BA7010">
            <w:pPr>
              <w:pStyle w:val="PolicyTableGreyText"/>
              <w:framePr w:hSpace="0" w:wrap="auto" w:vAnchor="margin" w:hAnchor="text" w:xAlign="left" w:yAlign="inline"/>
              <w:rPr>
                <w:rFonts w:ascii="Arial" w:hAnsi="Arial" w:cs="Arial"/>
              </w:rPr>
            </w:pPr>
            <w:r>
              <w:rPr>
                <w:rFonts w:ascii="Arial" w:hAnsi="Arial" w:cs="Arial"/>
              </w:rPr>
              <w:t>Date of next review</w:t>
            </w:r>
          </w:p>
        </w:tc>
        <w:tc>
          <w:tcPr>
            <w:tcW w:w="7229" w:type="dxa"/>
            <w:tcMar>
              <w:top w:w="0" w:type="dxa"/>
              <w:bottom w:w="0" w:type="dxa"/>
            </w:tcMar>
            <w:vAlign w:val="center"/>
          </w:tcPr>
          <w:p w14:paraId="22ACB957" w14:textId="77777777" w:rsidR="004B34D9" w:rsidRPr="000C3E0A" w:rsidRDefault="004B34D9" w:rsidP="00BA7010">
            <w:pPr>
              <w:pStyle w:val="PolicyTableGreyText"/>
              <w:framePr w:hSpace="0" w:wrap="auto" w:vAnchor="margin" w:hAnchor="text" w:xAlign="left" w:yAlign="inline"/>
              <w:rPr>
                <w:rFonts w:ascii="Arial" w:hAnsi="Arial" w:cs="Arial"/>
              </w:rPr>
            </w:pPr>
            <w:r>
              <w:rPr>
                <w:rFonts w:ascii="Arial" w:hAnsi="Arial" w:cs="Arial"/>
              </w:rPr>
              <w:t>5 December 2025</w:t>
            </w:r>
          </w:p>
        </w:tc>
      </w:tr>
    </w:tbl>
    <w:p w14:paraId="0E95142B" w14:textId="77777777" w:rsidR="004B34D9" w:rsidRPr="002F5725" w:rsidRDefault="004B34D9" w:rsidP="004B34D9"/>
    <w:p w14:paraId="2090FFB3" w14:textId="77777777" w:rsidR="002F5725" w:rsidRPr="004B34D9" w:rsidRDefault="002F5725" w:rsidP="004B34D9"/>
    <w:sectPr w:rsidR="002F5725" w:rsidRPr="004B34D9" w:rsidSect="00B66BFD">
      <w:headerReference w:type="default" r:id="rId32"/>
      <w:footerReference w:type="even" r:id="rId33"/>
      <w:footerReference w:type="default" r:id="rId34"/>
      <w:type w:val="continuous"/>
      <w:pgSz w:w="11901" w:h="16817"/>
      <w:pgMar w:top="1134" w:right="845" w:bottom="1134" w:left="720" w:header="709" w:footer="34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8F23" w14:textId="77777777" w:rsidR="009C4806" w:rsidRDefault="009C4806" w:rsidP="00224C6A">
      <w:r>
        <w:separator/>
      </w:r>
    </w:p>
    <w:p w14:paraId="46B31957" w14:textId="77777777" w:rsidR="009C4806" w:rsidRDefault="009C4806"/>
    <w:p w14:paraId="5FE00076" w14:textId="77777777" w:rsidR="009C4806" w:rsidRDefault="009C4806" w:rsidP="00F30A7A"/>
    <w:p w14:paraId="2F7E9140" w14:textId="77777777" w:rsidR="009C4806" w:rsidRDefault="009C4806" w:rsidP="00F30A7A"/>
  </w:endnote>
  <w:endnote w:type="continuationSeparator" w:id="0">
    <w:p w14:paraId="2E81AB86" w14:textId="77777777" w:rsidR="009C4806" w:rsidRDefault="009C4806" w:rsidP="00224C6A">
      <w:r>
        <w:continuationSeparator/>
      </w:r>
    </w:p>
    <w:p w14:paraId="3F9E0640" w14:textId="77777777" w:rsidR="009C4806" w:rsidRDefault="009C4806"/>
    <w:p w14:paraId="2C62A589" w14:textId="77777777" w:rsidR="009C4806" w:rsidRDefault="009C4806" w:rsidP="00F30A7A"/>
    <w:p w14:paraId="5F753BE7" w14:textId="77777777" w:rsidR="009C4806" w:rsidRDefault="009C4806" w:rsidP="00F30A7A"/>
  </w:endnote>
  <w:endnote w:type="continuationNotice" w:id="1">
    <w:p w14:paraId="0FFC407E" w14:textId="77777777" w:rsidR="00DA16A3" w:rsidRDefault="00DA1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Bold">
    <w:altName w:val="Times New Roman"/>
    <w:charset w:val="00"/>
    <w:family w:val="auto"/>
    <w:pitch w:val="variable"/>
    <w:sig w:usb0="00000001"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FFC9" w14:textId="77777777" w:rsidR="009770BC" w:rsidRDefault="009770BC" w:rsidP="00224C6A">
    <w:pPr>
      <w:pStyle w:val="Footer"/>
      <w:rPr>
        <w:rStyle w:val="PageNumber"/>
      </w:rPr>
    </w:pPr>
  </w:p>
  <w:p w14:paraId="2090FFCA" w14:textId="77777777" w:rsidR="009770BC" w:rsidRDefault="009770BC" w:rsidP="00224C6A">
    <w:pPr>
      <w:pStyle w:val="Footer"/>
    </w:pPr>
  </w:p>
  <w:p w14:paraId="2090FFCB" w14:textId="77777777" w:rsidR="009770BC" w:rsidRDefault="009770BC"/>
  <w:p w14:paraId="2090FFCC" w14:textId="77777777" w:rsidR="009770BC" w:rsidRDefault="009770BC" w:rsidP="00F30A7A"/>
  <w:p w14:paraId="2090FFCD" w14:textId="77777777" w:rsidR="009770BC" w:rsidRDefault="009770BC" w:rsidP="00F30A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D9D9D9" w:themeColor="background1" w:themeShade="D9"/>
      </w:rPr>
      <w:id w:val="1904399617"/>
      <w:docPartObj>
        <w:docPartGallery w:val="Page Numbers (Bottom of Page)"/>
        <w:docPartUnique/>
      </w:docPartObj>
    </w:sdtPr>
    <w:sdtEndPr>
      <w:rPr>
        <w:noProof/>
        <w:sz w:val="16"/>
        <w:szCs w:val="16"/>
      </w:rPr>
    </w:sdtEndPr>
    <w:sdtContent>
      <w:p w14:paraId="3D4B75C1" w14:textId="06E7D7B9" w:rsidR="00B66BFD" w:rsidRDefault="00B66BFD" w:rsidP="00B66BFD">
        <w:pPr>
          <w:pStyle w:val="Footer"/>
          <w:ind w:right="257"/>
          <w:rPr>
            <w:color w:val="D9D9D9" w:themeColor="background1" w:themeShade="D9"/>
            <w:sz w:val="18"/>
            <w:szCs w:val="18"/>
          </w:rPr>
        </w:pPr>
        <w:r w:rsidRPr="00710C0C">
          <w:rPr>
            <w:b/>
            <w:bCs/>
            <w:noProof/>
            <w:color w:val="D9D9D9" w:themeColor="background1" w:themeShade="D9"/>
            <w:sz w:val="18"/>
            <w:szCs w:val="18"/>
          </w:rPr>
          <mc:AlternateContent>
            <mc:Choice Requires="wps">
              <w:drawing>
                <wp:anchor distT="0" distB="0" distL="114300" distR="114300" simplePos="0" relativeHeight="251663872" behindDoc="0" locked="0" layoutInCell="1" allowOverlap="1" wp14:anchorId="2D4AE973" wp14:editId="2DEAAB08">
                  <wp:simplePos x="0" y="0"/>
                  <wp:positionH relativeFrom="column">
                    <wp:posOffset>6470650</wp:posOffset>
                  </wp:positionH>
                  <wp:positionV relativeFrom="paragraph">
                    <wp:posOffset>118745</wp:posOffset>
                  </wp:positionV>
                  <wp:extent cx="311150" cy="248920"/>
                  <wp:effectExtent l="0" t="0" r="0" b="0"/>
                  <wp:wrapNone/>
                  <wp:docPr id="1502225633" name="Text Box 4"/>
                  <wp:cNvGraphicFramePr/>
                  <a:graphic xmlns:a="http://schemas.openxmlformats.org/drawingml/2006/main">
                    <a:graphicData uri="http://schemas.microsoft.com/office/word/2010/wordprocessingShape">
                      <wps:wsp>
                        <wps:cNvSpPr txBox="1"/>
                        <wps:spPr>
                          <a:xfrm>
                            <a:off x="0" y="0"/>
                            <a:ext cx="311150" cy="248920"/>
                          </a:xfrm>
                          <a:prstGeom prst="rect">
                            <a:avLst/>
                          </a:prstGeom>
                          <a:noFill/>
                          <a:ln w="12700">
                            <a:noFill/>
                          </a:ln>
                        </wps:spPr>
                        <wps:txbx>
                          <w:txbxContent>
                            <w:p w14:paraId="139AFC01" w14:textId="77777777" w:rsidR="00B66BFD" w:rsidRPr="0088500E" w:rsidRDefault="00B66BFD" w:rsidP="00B66BFD">
                              <w:pPr>
                                <w:jc w:val="center"/>
                                <w:rPr>
                                  <w:b/>
                                  <w:bCs/>
                                  <w:color w:val="BFBFBF" w:themeColor="background1" w:themeShade="BF"/>
                                </w:rPr>
                              </w:pPr>
                              <w:r w:rsidRPr="0088500E">
                                <w:rPr>
                                  <w:b/>
                                  <w:bCs/>
                                  <w:color w:val="BFBFBF" w:themeColor="background1" w:themeShade="BF"/>
                                  <w:sz w:val="18"/>
                                  <w:szCs w:val="18"/>
                                </w:rPr>
                                <w:fldChar w:fldCharType="begin"/>
                              </w:r>
                              <w:r w:rsidRPr="0088500E">
                                <w:rPr>
                                  <w:b/>
                                  <w:bCs/>
                                  <w:color w:val="BFBFBF" w:themeColor="background1" w:themeShade="BF"/>
                                  <w:sz w:val="18"/>
                                  <w:szCs w:val="18"/>
                                </w:rPr>
                                <w:instrText xml:space="preserve"> PAGE   \* MERGEFORMAT </w:instrText>
                              </w:r>
                              <w:r w:rsidRPr="0088500E">
                                <w:rPr>
                                  <w:b/>
                                  <w:bCs/>
                                  <w:color w:val="BFBFBF" w:themeColor="background1" w:themeShade="BF"/>
                                  <w:sz w:val="18"/>
                                  <w:szCs w:val="18"/>
                                </w:rPr>
                                <w:fldChar w:fldCharType="separate"/>
                              </w:r>
                              <w:r w:rsidRPr="0088500E">
                                <w:rPr>
                                  <w:b/>
                                  <w:bCs/>
                                  <w:color w:val="BFBFBF" w:themeColor="background1" w:themeShade="BF"/>
                                  <w:sz w:val="18"/>
                                  <w:szCs w:val="18"/>
                                </w:rPr>
                                <w:t>1</w:t>
                              </w:r>
                              <w:r w:rsidRPr="0088500E">
                                <w:rPr>
                                  <w:b/>
                                  <w:bCs/>
                                  <w:noProof/>
                                  <w:color w:val="BFBFBF" w:themeColor="background1" w:themeShade="B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AE973" id="_x0000_t202" coordsize="21600,21600" o:spt="202" path="m,l,21600r21600,l21600,xe">
                  <v:stroke joinstyle="miter"/>
                  <v:path gradientshapeok="t" o:connecttype="rect"/>
                </v:shapetype>
                <v:shape id="Text Box 4" o:spid="_x0000_s1026" type="#_x0000_t202" style="position:absolute;margin-left:509.5pt;margin-top:9.35pt;width:24.5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" filled="f" stroked="f" strokeweight="1pt">
                  <v:textbox>
                    <w:txbxContent>
                      <w:p w14:paraId="139AFC01" w14:textId="77777777" w:rsidR="00B66BFD" w:rsidRPr="0088500E" w:rsidRDefault="00B66BFD" w:rsidP="00B66BFD">
                        <w:pPr>
                          <w:jc w:val="center"/>
                          <w:rPr>
                            <w:b/>
                            <w:bCs/>
                            <w:color w:val="BFBFBF" w:themeColor="background1" w:themeShade="BF"/>
                          </w:rPr>
                        </w:pPr>
                        <w:r w:rsidRPr="0088500E">
                          <w:rPr>
                            <w:b/>
                            <w:bCs/>
                            <w:color w:val="BFBFBF" w:themeColor="background1" w:themeShade="BF"/>
                            <w:sz w:val="18"/>
                            <w:szCs w:val="18"/>
                          </w:rPr>
                          <w:fldChar w:fldCharType="begin"/>
                        </w:r>
                        <w:r w:rsidRPr="0088500E">
                          <w:rPr>
                            <w:b/>
                            <w:bCs/>
                            <w:color w:val="BFBFBF" w:themeColor="background1" w:themeShade="BF"/>
                            <w:sz w:val="18"/>
                            <w:szCs w:val="18"/>
                          </w:rPr>
                          <w:instrText xml:space="preserve"> PAGE   \* MERGEFORMAT </w:instrText>
                        </w:r>
                        <w:r w:rsidRPr="0088500E">
                          <w:rPr>
                            <w:b/>
                            <w:bCs/>
                            <w:color w:val="BFBFBF" w:themeColor="background1" w:themeShade="BF"/>
                            <w:sz w:val="18"/>
                            <w:szCs w:val="18"/>
                          </w:rPr>
                          <w:fldChar w:fldCharType="separate"/>
                        </w:r>
                        <w:r w:rsidRPr="0088500E">
                          <w:rPr>
                            <w:b/>
                            <w:bCs/>
                            <w:color w:val="BFBFBF" w:themeColor="background1" w:themeShade="BF"/>
                            <w:sz w:val="18"/>
                            <w:szCs w:val="18"/>
                          </w:rPr>
                          <w:t>1</w:t>
                        </w:r>
                        <w:r w:rsidRPr="0088500E">
                          <w:rPr>
                            <w:b/>
                            <w:bCs/>
                            <w:noProof/>
                            <w:color w:val="BFBFBF" w:themeColor="background1" w:themeShade="BF"/>
                            <w:sz w:val="18"/>
                            <w:szCs w:val="18"/>
                          </w:rPr>
                          <w:fldChar w:fldCharType="end"/>
                        </w:r>
                      </w:p>
                    </w:txbxContent>
                  </v:textbox>
                </v:shape>
              </w:pict>
            </mc:Fallback>
          </mc:AlternateContent>
        </w:r>
        <w:r w:rsidRPr="00710C0C">
          <w:rPr>
            <w:noProof/>
            <w:color w:val="FFFFFF" w:themeColor="background1"/>
            <w:sz w:val="18"/>
            <w:szCs w:val="18"/>
          </w:rPr>
          <mc:AlternateContent>
            <mc:Choice Requires="wps">
              <w:drawing>
                <wp:anchor distT="0" distB="0" distL="114300" distR="114300" simplePos="0" relativeHeight="251664896" behindDoc="0" locked="0" layoutInCell="1" allowOverlap="1" wp14:anchorId="1EB02BF9" wp14:editId="6793AFAB">
                  <wp:simplePos x="0" y="0"/>
                  <wp:positionH relativeFrom="column">
                    <wp:posOffset>6529705</wp:posOffset>
                  </wp:positionH>
                  <wp:positionV relativeFrom="paragraph">
                    <wp:posOffset>354965</wp:posOffset>
                  </wp:positionV>
                  <wp:extent cx="199390" cy="0"/>
                  <wp:effectExtent l="0" t="0" r="0" b="0"/>
                  <wp:wrapNone/>
                  <wp:docPr id="1584777765" name="Straight Connector 5"/>
                  <wp:cNvGraphicFramePr/>
                  <a:graphic xmlns:a="http://schemas.openxmlformats.org/drawingml/2006/main">
                    <a:graphicData uri="http://schemas.microsoft.com/office/word/2010/wordprocessingShape">
                      <wps:wsp>
                        <wps:cNvCnPr/>
                        <wps:spPr>
                          <a:xfrm>
                            <a:off x="0" y="0"/>
                            <a:ext cx="199390" cy="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260AFD35" id="Straight Connector 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14.15pt,27.95pt" to="529.8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" strokecolor="#7f7f7f [1612]" strokeweight="1pt"/>
              </w:pict>
            </mc:Fallback>
          </mc:AlternateContent>
        </w:r>
        <w:r w:rsidRPr="00710C0C">
          <w:rPr>
            <w:color w:val="D9D9D9" w:themeColor="background1" w:themeShade="D9"/>
            <w:sz w:val="18"/>
            <w:szCs w:val="18"/>
          </w:rPr>
          <w:t xml:space="preserve">Student </w:t>
        </w:r>
        <w:r>
          <w:rPr>
            <w:color w:val="D9D9D9" w:themeColor="background1" w:themeShade="D9"/>
            <w:sz w:val="18"/>
            <w:szCs w:val="18"/>
          </w:rPr>
          <w:t xml:space="preserve">Fees and Charges </w:t>
        </w:r>
        <w:r w:rsidRPr="00710C0C">
          <w:rPr>
            <w:b/>
            <w:bCs/>
            <w:color w:val="D9D9D9" w:themeColor="background1" w:themeShade="D9"/>
            <w:sz w:val="18"/>
            <w:szCs w:val="18"/>
          </w:rPr>
          <w:t>Policy</w:t>
        </w:r>
        <w:r w:rsidRPr="007B7533">
          <w:rPr>
            <w:color w:val="D9D9D9" w:themeColor="background1" w:themeShade="D9"/>
            <w:sz w:val="18"/>
            <w:szCs w:val="18"/>
          </w:rPr>
          <w:t xml:space="preserve">       </w:t>
        </w:r>
        <w:r w:rsidR="00831BA3">
          <w:rPr>
            <w:color w:val="D9D9D9" w:themeColor="background1" w:themeShade="D9"/>
            <w:sz w:val="18"/>
            <w:szCs w:val="18"/>
          </w:rPr>
          <w:t>5</w:t>
        </w:r>
        <w:r>
          <w:rPr>
            <w:color w:val="D9D9D9" w:themeColor="background1" w:themeShade="D9"/>
            <w:sz w:val="18"/>
            <w:szCs w:val="18"/>
          </w:rPr>
          <w:t xml:space="preserve"> </w:t>
        </w:r>
        <w:r w:rsidRPr="007B7533">
          <w:rPr>
            <w:color w:val="D9D9D9" w:themeColor="background1" w:themeShade="D9"/>
            <w:sz w:val="18"/>
            <w:szCs w:val="18"/>
          </w:rPr>
          <w:fldChar w:fldCharType="begin"/>
        </w:r>
        <w:r w:rsidRPr="007B7533">
          <w:rPr>
            <w:color w:val="D9D9D9" w:themeColor="background1" w:themeShade="D9"/>
            <w:sz w:val="18"/>
            <w:szCs w:val="18"/>
          </w:rPr>
          <w:instrText xml:space="preserve"> DATE  \@ "MMMM yy"  \* MERGEFORMAT </w:instrText>
        </w:r>
        <w:r w:rsidRPr="007B7533">
          <w:rPr>
            <w:color w:val="D9D9D9" w:themeColor="background1" w:themeShade="D9"/>
            <w:sz w:val="18"/>
            <w:szCs w:val="18"/>
          </w:rPr>
          <w:fldChar w:fldCharType="separate"/>
        </w:r>
        <w:r w:rsidR="00DA16A3">
          <w:rPr>
            <w:noProof/>
            <w:color w:val="D9D9D9" w:themeColor="background1" w:themeShade="D9"/>
            <w:sz w:val="18"/>
            <w:szCs w:val="18"/>
          </w:rPr>
          <w:t>December 24</w:t>
        </w:r>
        <w:r w:rsidRPr="007B7533">
          <w:rPr>
            <w:color w:val="D9D9D9" w:themeColor="background1" w:themeShade="D9"/>
            <w:sz w:val="18"/>
            <w:szCs w:val="18"/>
          </w:rPr>
          <w:fldChar w:fldCharType="end"/>
        </w:r>
        <w:r>
          <w:rPr>
            <w:color w:val="D9D9D9" w:themeColor="background1" w:themeShade="D9"/>
            <w:sz w:val="18"/>
            <w:szCs w:val="18"/>
          </w:rPr>
          <w:tab/>
        </w:r>
      </w:p>
      <w:p w14:paraId="3BC26FE1" w14:textId="59B985B6" w:rsidR="00B66BFD" w:rsidRPr="0088500E" w:rsidRDefault="00B66BFD" w:rsidP="00B66BFD">
        <w:pPr>
          <w:pStyle w:val="Footer"/>
          <w:ind w:right="257"/>
          <w:rPr>
            <w:color w:val="D9D9D9" w:themeColor="background1" w:themeShade="D9"/>
            <w:sz w:val="16"/>
            <w:szCs w:val="16"/>
          </w:rPr>
        </w:pPr>
        <w:r>
          <w:rPr>
            <w:color w:val="D9D9D9" w:themeColor="background1" w:themeShade="D9"/>
            <w:sz w:val="18"/>
            <w:szCs w:val="18"/>
          </w:rPr>
          <w:tab/>
        </w:r>
        <w:r>
          <w:rPr>
            <w:color w:val="D9D9D9" w:themeColor="background1" w:themeShade="D9"/>
            <w:sz w:val="18"/>
            <w:szCs w:val="18"/>
          </w:rPr>
          <w:tab/>
        </w:r>
        <w:r>
          <w:rPr>
            <w:color w:val="D9D9D9" w:themeColor="background1" w:themeShade="D9"/>
            <w:sz w:val="16"/>
            <w:szCs w:val="16"/>
          </w:rPr>
          <w:br/>
        </w:r>
        <w:r w:rsidRPr="0088500E">
          <w:rPr>
            <w:color w:val="D9D9D9" w:themeColor="background1" w:themeShade="D9"/>
            <w:sz w:val="16"/>
            <w:szCs w:val="16"/>
          </w:rPr>
          <w:t>The latest version of this document is available on the College Intranet</w:t>
        </w:r>
      </w:p>
    </w:sdtContent>
  </w:sdt>
  <w:p w14:paraId="295798B0" w14:textId="58D68A59" w:rsidR="00BB4973" w:rsidRDefault="0049151C" w:rsidP="0049151C">
    <w:pPr>
      <w:pStyle w:val="Footer"/>
      <w:tabs>
        <w:tab w:val="clear" w:pos="4320"/>
        <w:tab w:val="clear" w:pos="8640"/>
        <w:tab w:val="left" w:pos="6900"/>
      </w:tabs>
      <w:ind w:right="21"/>
      <w:rPr>
        <w:color w:val="FFFFFF" w:themeColor="background1"/>
        <w:sz w:val="14"/>
        <w:szCs w:val="14"/>
      </w:rPr>
    </w:pPr>
    <w:r>
      <w:rPr>
        <w:color w:val="FFFFFF" w:themeColor="background1"/>
        <w:sz w:val="14"/>
        <w:szCs w:val="14"/>
      </w:rPr>
      <w:tab/>
    </w:r>
  </w:p>
  <w:p w14:paraId="5232643C" w14:textId="77777777" w:rsidR="00BB4973" w:rsidRDefault="00BB4973" w:rsidP="004D382D">
    <w:pPr>
      <w:pStyle w:val="Footer"/>
      <w:tabs>
        <w:tab w:val="clear" w:pos="4320"/>
        <w:tab w:val="clear" w:pos="8640"/>
        <w:tab w:val="left" w:pos="9720"/>
      </w:tabs>
      <w:ind w:right="21"/>
      <w:rPr>
        <w:color w:val="FFFFFF" w:themeColor="background1"/>
        <w:sz w:val="14"/>
        <w:szCs w:val="14"/>
      </w:rPr>
    </w:pPr>
  </w:p>
  <w:p w14:paraId="2090FFD1" w14:textId="6D3E8EA4" w:rsidR="009770BC" w:rsidRPr="004D382D" w:rsidRDefault="009770BC" w:rsidP="004D382D">
    <w:pPr>
      <w:pStyle w:val="Footer"/>
      <w:tabs>
        <w:tab w:val="clear" w:pos="4320"/>
        <w:tab w:val="clear" w:pos="8640"/>
        <w:tab w:val="left" w:pos="9720"/>
      </w:tabs>
      <w:ind w:right="21"/>
      <w:rPr>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93F5B" w14:textId="77777777" w:rsidR="009C4806" w:rsidRDefault="009C4806" w:rsidP="00224C6A">
      <w:r>
        <w:separator/>
      </w:r>
    </w:p>
    <w:p w14:paraId="1F2086CA" w14:textId="77777777" w:rsidR="009C4806" w:rsidRDefault="009C4806"/>
    <w:p w14:paraId="3DDFA942" w14:textId="77777777" w:rsidR="009C4806" w:rsidRDefault="009C4806" w:rsidP="00F30A7A"/>
    <w:p w14:paraId="486D1375" w14:textId="77777777" w:rsidR="009C4806" w:rsidRDefault="009C4806" w:rsidP="00F30A7A"/>
  </w:footnote>
  <w:footnote w:type="continuationSeparator" w:id="0">
    <w:p w14:paraId="06C56464" w14:textId="77777777" w:rsidR="009C4806" w:rsidRDefault="009C4806" w:rsidP="00224C6A">
      <w:r>
        <w:continuationSeparator/>
      </w:r>
    </w:p>
    <w:p w14:paraId="5DA8F81D" w14:textId="77777777" w:rsidR="009C4806" w:rsidRDefault="009C4806"/>
    <w:p w14:paraId="36435BAF" w14:textId="77777777" w:rsidR="009C4806" w:rsidRDefault="009C4806" w:rsidP="00F30A7A"/>
    <w:p w14:paraId="512118AC" w14:textId="77777777" w:rsidR="009C4806" w:rsidRDefault="009C4806" w:rsidP="00F30A7A"/>
  </w:footnote>
  <w:footnote w:type="continuationNotice" w:id="1">
    <w:p w14:paraId="3E950E51" w14:textId="77777777" w:rsidR="00DA16A3" w:rsidRDefault="00DA1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FFC5" w14:textId="6D71BFAB" w:rsidR="009770BC" w:rsidRDefault="0049151C" w:rsidP="00224C6A">
    <w:pPr>
      <w:pStyle w:val="Header"/>
    </w:pPr>
    <w:r w:rsidRPr="000241F0">
      <w:rPr>
        <w:noProof/>
        <w:color w:val="FFFFFF" w:themeColor="background1"/>
        <w:sz w:val="14"/>
        <w:szCs w:val="14"/>
      </w:rPr>
      <w:drawing>
        <wp:anchor distT="0" distB="0" distL="114300" distR="114300" simplePos="0" relativeHeight="251666944" behindDoc="1" locked="0" layoutInCell="1" allowOverlap="1" wp14:anchorId="4D2F54A2" wp14:editId="08ABCB41">
          <wp:simplePos x="0" y="0"/>
          <wp:positionH relativeFrom="page">
            <wp:align>left</wp:align>
          </wp:positionH>
          <wp:positionV relativeFrom="page">
            <wp:posOffset>28575</wp:posOffset>
          </wp:positionV>
          <wp:extent cx="7555865" cy="10691495"/>
          <wp:effectExtent l="0" t="0" r="6985" b="0"/>
          <wp:wrapNone/>
          <wp:docPr id="1019660053" name="Picture 101966005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0053" name="Picture 1019660053" descr="A white background with black dots&#10;&#10;Description automatically generated"/>
                  <pic:cNvPicPr/>
                </pic:nvPicPr>
                <pic:blipFill>
                  <a:blip r:embed="rId1"/>
                  <a:stretch>
                    <a:fillRect/>
                  </a:stretch>
                </pic:blipFill>
                <pic:spPr>
                  <a:xfrm>
                    <a:off x="0" y="0"/>
                    <a:ext cx="7555865" cy="10691495"/>
                  </a:xfrm>
                  <a:prstGeom prst="rect">
                    <a:avLst/>
                  </a:prstGeom>
                </pic:spPr>
              </pic:pic>
            </a:graphicData>
          </a:graphic>
          <wp14:sizeRelH relativeFrom="page">
            <wp14:pctWidth>0</wp14:pctWidth>
          </wp14:sizeRelH>
          <wp14:sizeRelV relativeFrom="page">
            <wp14:pctHeight>0</wp14:pctHeight>
          </wp14:sizeRelV>
        </wp:anchor>
      </w:drawing>
    </w:r>
    <w:r w:rsidR="009770BC">
      <w:tab/>
    </w:r>
    <w:r w:rsidR="009770BC">
      <w:tab/>
    </w:r>
  </w:p>
  <w:p w14:paraId="2090FFC7" w14:textId="37027B21" w:rsidR="009770BC" w:rsidRDefault="009770BC" w:rsidP="0049151C">
    <w:pPr>
      <w:jc w:val="center"/>
    </w:pPr>
  </w:p>
  <w:p w14:paraId="2090FFC8" w14:textId="15CFD4A9" w:rsidR="009770BC" w:rsidRDefault="009770BC" w:rsidP="00F30A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12EA124E"/>
    <w:lvl w:ilvl="0">
      <w:start w:val="1"/>
      <w:numFmt w:val="decimal"/>
      <w:lvlText w:val="%1."/>
      <w:lvlJc w:val="left"/>
      <w:pPr>
        <w:tabs>
          <w:tab w:val="num" w:pos="1209"/>
        </w:tabs>
        <w:ind w:left="1209" w:hanging="360"/>
      </w:pPr>
    </w:lvl>
  </w:abstractNum>
  <w:abstractNum w:abstractNumId="1" w15:restartNumberingAfterBreak="0">
    <w:nsid w:val="FFFFFF80"/>
    <w:multiLevelType w:val="singleLevel"/>
    <w:tmpl w:val="D200FD5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3713E46"/>
    <w:multiLevelType w:val="multilevel"/>
    <w:tmpl w:val="8BBAF31C"/>
    <w:lvl w:ilvl="0">
      <w:start w:val="1"/>
      <w:numFmt w:val="decimal"/>
      <w:lvlText w:val="%1"/>
      <w:lvlJc w:val="left"/>
      <w:pPr>
        <w:ind w:left="284" w:hanging="284"/>
      </w:pPr>
      <w:rPr>
        <w:rFonts w:ascii="Arial" w:hAnsi="Arial" w:cs="Arial" w:hint="default"/>
        <w:b w:val="0"/>
        <w:bCs w:val="0"/>
        <w:i w:val="0"/>
        <w:color w:val="E36C0A" w:themeColor="accent6" w:themeShade="BF"/>
      </w:rPr>
    </w:lvl>
    <w:lvl w:ilvl="1">
      <w:start w:val="1"/>
      <w:numFmt w:val="bullet"/>
      <w:lvlText w:val=""/>
      <w:lvlJc w:val="left"/>
      <w:pPr>
        <w:tabs>
          <w:tab w:val="num" w:pos="851"/>
        </w:tabs>
        <w:ind w:left="1134" w:hanging="283"/>
      </w:pPr>
      <w:rPr>
        <w:rFonts w:ascii="Symbol" w:hAnsi="Symbol" w:hint="default"/>
        <w:b/>
        <w:i w:val="0"/>
        <w:color w:val="E97200"/>
        <w:sz w:val="16"/>
      </w:rPr>
    </w:lvl>
    <w:lvl w:ilvl="2">
      <w:start w:val="1"/>
      <w:numFmt w:val="bullet"/>
      <w:lvlText w:val=""/>
      <w:lvlJc w:val="left"/>
      <w:pPr>
        <w:ind w:left="1701" w:hanging="283"/>
      </w:pPr>
      <w:rPr>
        <w:rFonts w:ascii="Symbol" w:hAnsi="Symbol" w:hint="default"/>
        <w:b/>
        <w:i w:val="0"/>
        <w:color w:val="E97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293ECE"/>
    <w:multiLevelType w:val="hybridMultilevel"/>
    <w:tmpl w:val="4064B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D57591"/>
    <w:multiLevelType w:val="multilevel"/>
    <w:tmpl w:val="1A6C1E76"/>
    <w:lvl w:ilvl="0">
      <w:start w:val="1"/>
      <w:numFmt w:val="bullet"/>
      <w:lvlText w:val=""/>
      <w:lvlJc w:val="left"/>
      <w:pPr>
        <w:ind w:left="426" w:hanging="284"/>
      </w:pPr>
      <w:rPr>
        <w:rFonts w:ascii="Symbol" w:hAnsi="Symbol" w:hint="default"/>
        <w:b/>
        <w:i w:val="0"/>
        <w:color w:val="E97200"/>
      </w:rPr>
    </w:lvl>
    <w:lvl w:ilvl="1">
      <w:start w:val="1"/>
      <w:numFmt w:val="bullet"/>
      <w:lvlText w:val=""/>
      <w:lvlJc w:val="left"/>
      <w:pPr>
        <w:ind w:left="1134" w:hanging="283"/>
      </w:pPr>
      <w:rPr>
        <w:rFonts w:ascii="Symbol" w:hAnsi="Symbol" w:hint="default"/>
        <w:b/>
        <w:i w:val="0"/>
        <w:color w:val="E97200"/>
        <w:sz w:val="16"/>
      </w:rPr>
    </w:lvl>
    <w:lvl w:ilvl="2">
      <w:start w:val="1"/>
      <w:numFmt w:val="bullet"/>
      <w:lvlText w:val=""/>
      <w:lvlJc w:val="left"/>
      <w:pPr>
        <w:ind w:left="1701" w:hanging="283"/>
      </w:pPr>
      <w:rPr>
        <w:rFonts w:ascii="Symbol" w:hAnsi="Symbol" w:hint="default"/>
        <w:b/>
        <w:i w:val="0"/>
        <w:color w:val="E97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241D2F"/>
    <w:multiLevelType w:val="hybridMultilevel"/>
    <w:tmpl w:val="8542C81C"/>
    <w:lvl w:ilvl="0" w:tplc="074C2B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B7FB0"/>
    <w:multiLevelType w:val="hybridMultilevel"/>
    <w:tmpl w:val="C53E7C62"/>
    <w:lvl w:ilvl="0" w:tplc="483CB4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F54F4E"/>
    <w:multiLevelType w:val="hybridMultilevel"/>
    <w:tmpl w:val="CFC096E8"/>
    <w:lvl w:ilvl="0" w:tplc="BD1670F4">
      <w:start w:val="1"/>
      <w:numFmt w:val="bullet"/>
      <w:pStyle w:val="Bullet1"/>
      <w:lvlText w:val=""/>
      <w:lvlJc w:val="left"/>
      <w:pPr>
        <w:ind w:left="720" w:hanging="360"/>
      </w:pPr>
      <w:rPr>
        <w:rFonts w:ascii="Symbol" w:hAnsi="Symbol" w:hint="default"/>
        <w:color w:val="F57E20"/>
      </w:rPr>
    </w:lvl>
    <w:lvl w:ilvl="1" w:tplc="BB4CED5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652ABD"/>
    <w:multiLevelType w:val="hybridMultilevel"/>
    <w:tmpl w:val="95AEDB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1BB19CE"/>
    <w:multiLevelType w:val="hybridMultilevel"/>
    <w:tmpl w:val="7B749E30"/>
    <w:lvl w:ilvl="0" w:tplc="B7DAC32C">
      <w:start w:val="1"/>
      <w:numFmt w:val="bullet"/>
      <w:lvlText w:val=""/>
      <w:lvlJc w:val="left"/>
      <w:pPr>
        <w:ind w:left="720" w:hanging="360"/>
      </w:pPr>
      <w:rPr>
        <w:rFonts w:ascii="Symbol" w:hAnsi="Symbol" w:hint="default"/>
        <w:color w:val="F57E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F4225B"/>
    <w:multiLevelType w:val="hybridMultilevel"/>
    <w:tmpl w:val="84FEA96E"/>
    <w:lvl w:ilvl="0" w:tplc="CCAC69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3D7E4A"/>
    <w:multiLevelType w:val="hybridMultilevel"/>
    <w:tmpl w:val="C5EA22B4"/>
    <w:lvl w:ilvl="0" w:tplc="D7FEB3D2">
      <w:start w:val="1"/>
      <w:numFmt w:val="bullet"/>
      <w:lvlText w:val=""/>
      <w:lvlJc w:val="left"/>
      <w:pPr>
        <w:ind w:left="720" w:hanging="360"/>
      </w:pPr>
      <w:rPr>
        <w:rFonts w:ascii="Symbol" w:hAnsi="Symbol" w:hint="default"/>
        <w:color w:val="F57E20"/>
      </w:rPr>
    </w:lvl>
    <w:lvl w:ilvl="1" w:tplc="A1E083AA">
      <w:start w:val="1"/>
      <w:numFmt w:val="bullet"/>
      <w:pStyle w:val="Bullet2"/>
      <w:lvlText w:val=""/>
      <w:lvlJc w:val="left"/>
      <w:pPr>
        <w:ind w:left="1440" w:hanging="360"/>
      </w:pPr>
      <w:rPr>
        <w:rFonts w:ascii="Symbol" w:hAnsi="Symbol" w:hint="default"/>
        <w:color w:val="F57E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F624A7"/>
    <w:multiLevelType w:val="hybridMultilevel"/>
    <w:tmpl w:val="259294C8"/>
    <w:lvl w:ilvl="0" w:tplc="B2002EC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0E2AE5"/>
    <w:multiLevelType w:val="hybridMultilevel"/>
    <w:tmpl w:val="AA90F0E4"/>
    <w:lvl w:ilvl="0" w:tplc="D7FEB3D2">
      <w:start w:val="1"/>
      <w:numFmt w:val="bullet"/>
      <w:lvlText w:val=""/>
      <w:lvlJc w:val="left"/>
      <w:pPr>
        <w:ind w:left="720" w:hanging="360"/>
      </w:pPr>
      <w:rPr>
        <w:rFonts w:ascii="Symbol" w:hAnsi="Symbol" w:hint="default"/>
        <w:color w:val="F57E20"/>
      </w:rPr>
    </w:lvl>
    <w:lvl w:ilvl="1" w:tplc="E1A8A314">
      <w:start w:val="1"/>
      <w:numFmt w:val="bullet"/>
      <w:lvlText w:val=""/>
      <w:lvlJc w:val="left"/>
      <w:pPr>
        <w:ind w:left="1440" w:hanging="360"/>
      </w:pPr>
      <w:rPr>
        <w:rFonts w:ascii="Symbol" w:hAnsi="Symbol" w:hint="default"/>
        <w:color w:val="F57E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3A4224"/>
    <w:multiLevelType w:val="multilevel"/>
    <w:tmpl w:val="32C4FC0C"/>
    <w:lvl w:ilvl="0">
      <w:start w:val="1"/>
      <w:numFmt w:val="decimal"/>
      <w:lvlText w:val="%1"/>
      <w:lvlJc w:val="left"/>
      <w:pPr>
        <w:ind w:left="1449" w:hanging="230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4451" w:hanging="720"/>
      </w:pPr>
      <w:rPr>
        <w:rFonts w:hint="default"/>
      </w:rPr>
    </w:lvl>
    <w:lvl w:ilvl="3">
      <w:start w:val="1"/>
      <w:numFmt w:val="decimal"/>
      <w:isLgl/>
      <w:lvlText w:val="%1.%2.%3.%4"/>
      <w:lvlJc w:val="left"/>
      <w:pPr>
        <w:ind w:left="6742" w:hanging="720"/>
      </w:pPr>
      <w:rPr>
        <w:rFonts w:hint="default"/>
      </w:rPr>
    </w:lvl>
    <w:lvl w:ilvl="4">
      <w:start w:val="1"/>
      <w:numFmt w:val="decimal"/>
      <w:isLgl/>
      <w:lvlText w:val="%1.%2.%3.%4.%5"/>
      <w:lvlJc w:val="left"/>
      <w:pPr>
        <w:ind w:left="9393" w:hanging="1080"/>
      </w:pPr>
      <w:rPr>
        <w:rFonts w:hint="default"/>
      </w:rPr>
    </w:lvl>
    <w:lvl w:ilvl="5">
      <w:start w:val="1"/>
      <w:numFmt w:val="decimal"/>
      <w:isLgl/>
      <w:lvlText w:val="%1.%2.%3.%4.%5.%6"/>
      <w:lvlJc w:val="left"/>
      <w:pPr>
        <w:ind w:left="11684" w:hanging="1080"/>
      </w:pPr>
      <w:rPr>
        <w:rFonts w:hint="default"/>
      </w:rPr>
    </w:lvl>
    <w:lvl w:ilvl="6">
      <w:start w:val="1"/>
      <w:numFmt w:val="decimal"/>
      <w:isLgl/>
      <w:lvlText w:val="%1.%2.%3.%4.%5.%6.%7"/>
      <w:lvlJc w:val="left"/>
      <w:pPr>
        <w:ind w:left="13975" w:hanging="1080"/>
      </w:pPr>
      <w:rPr>
        <w:rFonts w:hint="default"/>
      </w:rPr>
    </w:lvl>
    <w:lvl w:ilvl="7">
      <w:start w:val="1"/>
      <w:numFmt w:val="decimal"/>
      <w:isLgl/>
      <w:lvlText w:val="%1.%2.%3.%4.%5.%6.%7.%8"/>
      <w:lvlJc w:val="left"/>
      <w:pPr>
        <w:ind w:left="16626" w:hanging="1440"/>
      </w:pPr>
      <w:rPr>
        <w:rFonts w:hint="default"/>
      </w:rPr>
    </w:lvl>
    <w:lvl w:ilvl="8">
      <w:start w:val="1"/>
      <w:numFmt w:val="decimal"/>
      <w:isLgl/>
      <w:lvlText w:val="%1.%2.%3.%4.%5.%6.%7.%8.%9"/>
      <w:lvlJc w:val="left"/>
      <w:pPr>
        <w:ind w:left="18917" w:hanging="1440"/>
      </w:pPr>
      <w:rPr>
        <w:rFonts w:hint="default"/>
      </w:rPr>
    </w:lvl>
  </w:abstractNum>
  <w:abstractNum w:abstractNumId="15" w15:restartNumberingAfterBreak="0">
    <w:nsid w:val="7A6843D7"/>
    <w:multiLevelType w:val="hybridMultilevel"/>
    <w:tmpl w:val="7F3EEFE6"/>
    <w:lvl w:ilvl="0" w:tplc="F4C83AF4">
      <w:start w:val="1"/>
      <w:numFmt w:val="decimal"/>
      <w:pStyle w:val="Numberedbullets"/>
      <w:lvlText w:val="%1"/>
      <w:lvlJc w:val="left"/>
      <w:pPr>
        <w:ind w:left="1080" w:hanging="720"/>
      </w:pPr>
      <w:rPr>
        <w:rFonts w:ascii="Arial" w:hAnsi="Arial" w:hint="default"/>
        <w:b/>
        <w:i w:val="0"/>
        <w:color w:val="F57E2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4889915">
    <w:abstractNumId w:val="14"/>
  </w:num>
  <w:num w:numId="2" w16cid:durableId="1795756716">
    <w:abstractNumId w:val="5"/>
  </w:num>
  <w:num w:numId="3" w16cid:durableId="899438500">
    <w:abstractNumId w:val="12"/>
  </w:num>
  <w:num w:numId="4" w16cid:durableId="2108384275">
    <w:abstractNumId w:val="9"/>
  </w:num>
  <w:num w:numId="5" w16cid:durableId="984818247">
    <w:abstractNumId w:val="7"/>
  </w:num>
  <w:num w:numId="6" w16cid:durableId="1501627545">
    <w:abstractNumId w:val="13"/>
  </w:num>
  <w:num w:numId="7" w16cid:durableId="676537317">
    <w:abstractNumId w:val="11"/>
  </w:num>
  <w:num w:numId="8" w16cid:durableId="1485319199">
    <w:abstractNumId w:val="3"/>
  </w:num>
  <w:num w:numId="9" w16cid:durableId="416709314">
    <w:abstractNumId w:val="15"/>
  </w:num>
  <w:num w:numId="10" w16cid:durableId="452332860">
    <w:abstractNumId w:val="4"/>
  </w:num>
  <w:num w:numId="11" w16cid:durableId="1598714711">
    <w:abstractNumId w:val="1"/>
  </w:num>
  <w:num w:numId="12" w16cid:durableId="1703627816">
    <w:abstractNumId w:val="0"/>
  </w:num>
  <w:num w:numId="13" w16cid:durableId="871116558">
    <w:abstractNumId w:val="2"/>
  </w:num>
  <w:num w:numId="14" w16cid:durableId="2022050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4982848">
    <w:abstractNumId w:val="8"/>
  </w:num>
  <w:num w:numId="16" w16cid:durableId="343090153">
    <w:abstractNumId w:val="10"/>
  </w:num>
  <w:num w:numId="17" w16cid:durableId="1988778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B0"/>
    <w:rsid w:val="0000606B"/>
    <w:rsid w:val="00007392"/>
    <w:rsid w:val="000115AF"/>
    <w:rsid w:val="0003369C"/>
    <w:rsid w:val="00044C75"/>
    <w:rsid w:val="0004760D"/>
    <w:rsid w:val="00053254"/>
    <w:rsid w:val="00067E64"/>
    <w:rsid w:val="00070A53"/>
    <w:rsid w:val="000711AF"/>
    <w:rsid w:val="00085011"/>
    <w:rsid w:val="00087F47"/>
    <w:rsid w:val="000968A7"/>
    <w:rsid w:val="000A32F8"/>
    <w:rsid w:val="000A4D0F"/>
    <w:rsid w:val="000A5016"/>
    <w:rsid w:val="000C3E0A"/>
    <w:rsid w:val="000C544D"/>
    <w:rsid w:val="000D0D3E"/>
    <w:rsid w:val="000D29C8"/>
    <w:rsid w:val="000E59BC"/>
    <w:rsid w:val="000F1D5A"/>
    <w:rsid w:val="000F2147"/>
    <w:rsid w:val="000F2EB3"/>
    <w:rsid w:val="00103CBF"/>
    <w:rsid w:val="00115F64"/>
    <w:rsid w:val="00124DB1"/>
    <w:rsid w:val="00135CAD"/>
    <w:rsid w:val="0014422D"/>
    <w:rsid w:val="00156F6E"/>
    <w:rsid w:val="00165905"/>
    <w:rsid w:val="00182BBB"/>
    <w:rsid w:val="00194FE6"/>
    <w:rsid w:val="001B022D"/>
    <w:rsid w:val="001B1B04"/>
    <w:rsid w:val="001B6F4F"/>
    <w:rsid w:val="001C73AD"/>
    <w:rsid w:val="001D5A45"/>
    <w:rsid w:val="001E04D0"/>
    <w:rsid w:val="001E2055"/>
    <w:rsid w:val="001E5737"/>
    <w:rsid w:val="001F3A03"/>
    <w:rsid w:val="00206486"/>
    <w:rsid w:val="00224145"/>
    <w:rsid w:val="00224C6A"/>
    <w:rsid w:val="00233C8B"/>
    <w:rsid w:val="0023786E"/>
    <w:rsid w:val="00246D8F"/>
    <w:rsid w:val="00250A7F"/>
    <w:rsid w:val="00256B71"/>
    <w:rsid w:val="00260F78"/>
    <w:rsid w:val="00275B01"/>
    <w:rsid w:val="002774F6"/>
    <w:rsid w:val="00282FB7"/>
    <w:rsid w:val="002A3697"/>
    <w:rsid w:val="002F5725"/>
    <w:rsid w:val="002F7254"/>
    <w:rsid w:val="00304FBC"/>
    <w:rsid w:val="00310E08"/>
    <w:rsid w:val="00317203"/>
    <w:rsid w:val="003333C8"/>
    <w:rsid w:val="00362162"/>
    <w:rsid w:val="00363840"/>
    <w:rsid w:val="00366C86"/>
    <w:rsid w:val="003851A9"/>
    <w:rsid w:val="003961C3"/>
    <w:rsid w:val="00397EC6"/>
    <w:rsid w:val="003A06FE"/>
    <w:rsid w:val="003A35E0"/>
    <w:rsid w:val="003B023F"/>
    <w:rsid w:val="003E60DE"/>
    <w:rsid w:val="003F33C1"/>
    <w:rsid w:val="003F51E8"/>
    <w:rsid w:val="00400712"/>
    <w:rsid w:val="00403457"/>
    <w:rsid w:val="00417D94"/>
    <w:rsid w:val="00431A6B"/>
    <w:rsid w:val="00454998"/>
    <w:rsid w:val="00457CAC"/>
    <w:rsid w:val="00462757"/>
    <w:rsid w:val="00470D67"/>
    <w:rsid w:val="00475FA9"/>
    <w:rsid w:val="0049106C"/>
    <w:rsid w:val="0049151C"/>
    <w:rsid w:val="00493E47"/>
    <w:rsid w:val="00497E0E"/>
    <w:rsid w:val="004A4014"/>
    <w:rsid w:val="004A4D09"/>
    <w:rsid w:val="004B34D9"/>
    <w:rsid w:val="004C182B"/>
    <w:rsid w:val="004C4AE7"/>
    <w:rsid w:val="004C535D"/>
    <w:rsid w:val="004D382D"/>
    <w:rsid w:val="004E2700"/>
    <w:rsid w:val="004F7E15"/>
    <w:rsid w:val="00501F62"/>
    <w:rsid w:val="005055AB"/>
    <w:rsid w:val="00510C8A"/>
    <w:rsid w:val="00525E12"/>
    <w:rsid w:val="00532831"/>
    <w:rsid w:val="00551F84"/>
    <w:rsid w:val="00563DC8"/>
    <w:rsid w:val="005667DA"/>
    <w:rsid w:val="005717BE"/>
    <w:rsid w:val="0057256B"/>
    <w:rsid w:val="0058609D"/>
    <w:rsid w:val="00586E8E"/>
    <w:rsid w:val="005955D0"/>
    <w:rsid w:val="005A1596"/>
    <w:rsid w:val="005B0625"/>
    <w:rsid w:val="005B601E"/>
    <w:rsid w:val="005B61F4"/>
    <w:rsid w:val="005D1DC2"/>
    <w:rsid w:val="005E6A6F"/>
    <w:rsid w:val="005E6BF7"/>
    <w:rsid w:val="00602977"/>
    <w:rsid w:val="00605241"/>
    <w:rsid w:val="00607FA9"/>
    <w:rsid w:val="00620C96"/>
    <w:rsid w:val="00636C9A"/>
    <w:rsid w:val="006411D2"/>
    <w:rsid w:val="00662B0A"/>
    <w:rsid w:val="00664A7A"/>
    <w:rsid w:val="006855C9"/>
    <w:rsid w:val="00694B99"/>
    <w:rsid w:val="00697B52"/>
    <w:rsid w:val="00697D0B"/>
    <w:rsid w:val="006B2C76"/>
    <w:rsid w:val="006B6BDF"/>
    <w:rsid w:val="006C4A9F"/>
    <w:rsid w:val="006F52A5"/>
    <w:rsid w:val="00716CC7"/>
    <w:rsid w:val="0072286B"/>
    <w:rsid w:val="0073112A"/>
    <w:rsid w:val="00754A56"/>
    <w:rsid w:val="00755D94"/>
    <w:rsid w:val="007676D2"/>
    <w:rsid w:val="0077295A"/>
    <w:rsid w:val="00780773"/>
    <w:rsid w:val="0078525A"/>
    <w:rsid w:val="007A4893"/>
    <w:rsid w:val="007B249F"/>
    <w:rsid w:val="007B5A88"/>
    <w:rsid w:val="007B7533"/>
    <w:rsid w:val="007C3716"/>
    <w:rsid w:val="007C6B77"/>
    <w:rsid w:val="007D09E9"/>
    <w:rsid w:val="007E177A"/>
    <w:rsid w:val="007F0C56"/>
    <w:rsid w:val="007F2F75"/>
    <w:rsid w:val="0080109E"/>
    <w:rsid w:val="00807F84"/>
    <w:rsid w:val="00811967"/>
    <w:rsid w:val="008120FD"/>
    <w:rsid w:val="008143DF"/>
    <w:rsid w:val="00831BA3"/>
    <w:rsid w:val="0084029D"/>
    <w:rsid w:val="00855905"/>
    <w:rsid w:val="0087198B"/>
    <w:rsid w:val="00874BA0"/>
    <w:rsid w:val="00883028"/>
    <w:rsid w:val="008907D3"/>
    <w:rsid w:val="008953F4"/>
    <w:rsid w:val="00897783"/>
    <w:rsid w:val="008A6AAB"/>
    <w:rsid w:val="008B7FEB"/>
    <w:rsid w:val="008C70BB"/>
    <w:rsid w:val="008D11A6"/>
    <w:rsid w:val="008E282B"/>
    <w:rsid w:val="008E5C8B"/>
    <w:rsid w:val="008F1F15"/>
    <w:rsid w:val="009136C0"/>
    <w:rsid w:val="00944B1B"/>
    <w:rsid w:val="009451F2"/>
    <w:rsid w:val="00947297"/>
    <w:rsid w:val="00963604"/>
    <w:rsid w:val="00974DF0"/>
    <w:rsid w:val="009770BC"/>
    <w:rsid w:val="0097786C"/>
    <w:rsid w:val="0099432D"/>
    <w:rsid w:val="00994A0F"/>
    <w:rsid w:val="00996A59"/>
    <w:rsid w:val="009C1DEA"/>
    <w:rsid w:val="009C3F0B"/>
    <w:rsid w:val="009C4806"/>
    <w:rsid w:val="009C60F4"/>
    <w:rsid w:val="009D1D7C"/>
    <w:rsid w:val="009D3BEF"/>
    <w:rsid w:val="009E1BAB"/>
    <w:rsid w:val="009E1CD9"/>
    <w:rsid w:val="009F10B0"/>
    <w:rsid w:val="009F6614"/>
    <w:rsid w:val="00A043EE"/>
    <w:rsid w:val="00A12788"/>
    <w:rsid w:val="00A139C0"/>
    <w:rsid w:val="00A13FFF"/>
    <w:rsid w:val="00A242E0"/>
    <w:rsid w:val="00A24E88"/>
    <w:rsid w:val="00A2592C"/>
    <w:rsid w:val="00A261AD"/>
    <w:rsid w:val="00A278C9"/>
    <w:rsid w:val="00A419C7"/>
    <w:rsid w:val="00A41C29"/>
    <w:rsid w:val="00A51B52"/>
    <w:rsid w:val="00A71064"/>
    <w:rsid w:val="00A909B5"/>
    <w:rsid w:val="00A96C46"/>
    <w:rsid w:val="00AA1D00"/>
    <w:rsid w:val="00AD0640"/>
    <w:rsid w:val="00AD63E9"/>
    <w:rsid w:val="00AE21DD"/>
    <w:rsid w:val="00AF1C09"/>
    <w:rsid w:val="00B00DCD"/>
    <w:rsid w:val="00B1767E"/>
    <w:rsid w:val="00B53349"/>
    <w:rsid w:val="00B54B76"/>
    <w:rsid w:val="00B563D3"/>
    <w:rsid w:val="00B66BFD"/>
    <w:rsid w:val="00B7516E"/>
    <w:rsid w:val="00B826E5"/>
    <w:rsid w:val="00B83987"/>
    <w:rsid w:val="00B83EC8"/>
    <w:rsid w:val="00B87005"/>
    <w:rsid w:val="00B94CE3"/>
    <w:rsid w:val="00BA7010"/>
    <w:rsid w:val="00BB136C"/>
    <w:rsid w:val="00BB4973"/>
    <w:rsid w:val="00BB6606"/>
    <w:rsid w:val="00BC2649"/>
    <w:rsid w:val="00BC4DA2"/>
    <w:rsid w:val="00BD5463"/>
    <w:rsid w:val="00BD7C88"/>
    <w:rsid w:val="00BE1C94"/>
    <w:rsid w:val="00BE6164"/>
    <w:rsid w:val="00C15AB0"/>
    <w:rsid w:val="00C241DF"/>
    <w:rsid w:val="00C57476"/>
    <w:rsid w:val="00C607A3"/>
    <w:rsid w:val="00C6722F"/>
    <w:rsid w:val="00C7250A"/>
    <w:rsid w:val="00C87DA7"/>
    <w:rsid w:val="00C9650B"/>
    <w:rsid w:val="00CD4725"/>
    <w:rsid w:val="00CE4C94"/>
    <w:rsid w:val="00CE5856"/>
    <w:rsid w:val="00CF3572"/>
    <w:rsid w:val="00D01225"/>
    <w:rsid w:val="00D023DD"/>
    <w:rsid w:val="00D0327E"/>
    <w:rsid w:val="00D055BD"/>
    <w:rsid w:val="00D20290"/>
    <w:rsid w:val="00D41179"/>
    <w:rsid w:val="00D449F1"/>
    <w:rsid w:val="00D45094"/>
    <w:rsid w:val="00D46129"/>
    <w:rsid w:val="00D5292B"/>
    <w:rsid w:val="00D6271E"/>
    <w:rsid w:val="00D66A9B"/>
    <w:rsid w:val="00D674F4"/>
    <w:rsid w:val="00D77FB8"/>
    <w:rsid w:val="00D824C0"/>
    <w:rsid w:val="00DA1078"/>
    <w:rsid w:val="00DA16A3"/>
    <w:rsid w:val="00DB35F9"/>
    <w:rsid w:val="00DD5F49"/>
    <w:rsid w:val="00DE7754"/>
    <w:rsid w:val="00DF50C5"/>
    <w:rsid w:val="00DF551F"/>
    <w:rsid w:val="00DF55A1"/>
    <w:rsid w:val="00E0448F"/>
    <w:rsid w:val="00E070E1"/>
    <w:rsid w:val="00E071CD"/>
    <w:rsid w:val="00E16115"/>
    <w:rsid w:val="00E33602"/>
    <w:rsid w:val="00E52572"/>
    <w:rsid w:val="00E566A1"/>
    <w:rsid w:val="00E60526"/>
    <w:rsid w:val="00E80406"/>
    <w:rsid w:val="00E8055A"/>
    <w:rsid w:val="00EA0943"/>
    <w:rsid w:val="00EA0EA4"/>
    <w:rsid w:val="00EC5C93"/>
    <w:rsid w:val="00ED5DEB"/>
    <w:rsid w:val="00ED678D"/>
    <w:rsid w:val="00ED7331"/>
    <w:rsid w:val="00EE275B"/>
    <w:rsid w:val="00EE3EE5"/>
    <w:rsid w:val="00EE61EE"/>
    <w:rsid w:val="00EE7065"/>
    <w:rsid w:val="00EE7788"/>
    <w:rsid w:val="00F04382"/>
    <w:rsid w:val="00F17E99"/>
    <w:rsid w:val="00F30A7A"/>
    <w:rsid w:val="00F3253C"/>
    <w:rsid w:val="00F343F8"/>
    <w:rsid w:val="00F36910"/>
    <w:rsid w:val="00F5356F"/>
    <w:rsid w:val="00F554CE"/>
    <w:rsid w:val="00F77953"/>
    <w:rsid w:val="00F85DBE"/>
    <w:rsid w:val="00F8645D"/>
    <w:rsid w:val="00F93E59"/>
    <w:rsid w:val="00FA6148"/>
    <w:rsid w:val="00FA699B"/>
    <w:rsid w:val="00FB3203"/>
    <w:rsid w:val="00FB3B38"/>
    <w:rsid w:val="00FF0B18"/>
    <w:rsid w:val="00FF18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90FEDD"/>
  <w14:defaultImageDpi w14:val="300"/>
  <w15:docId w15:val="{CF428C56-3125-44CF-9888-74D1BBD9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heading 1"/>
    <w:qFormat/>
    <w:rsid w:val="00224C6A"/>
    <w:rPr>
      <w:rFonts w:ascii="Arial" w:hAnsi="Arial" w:cs="Arial"/>
      <w:color w:val="F57E20"/>
      <w:sz w:val="32"/>
      <w:szCs w:val="30"/>
    </w:rPr>
  </w:style>
  <w:style w:type="paragraph" w:styleId="Heading1">
    <w:name w:val="heading 1"/>
    <w:basedOn w:val="Normal"/>
    <w:next w:val="Normal"/>
    <w:link w:val="Heading1Char"/>
    <w:uiPriority w:val="9"/>
    <w:rsid w:val="001B6F4F"/>
    <w:pPr>
      <w:keepNext/>
      <w:keepLines/>
      <w:spacing w:before="480"/>
      <w:outlineLvl w:val="0"/>
    </w:pPr>
    <w:rPr>
      <w:rFonts w:asciiTheme="majorHAnsi" w:eastAsiaTheme="majorEastAsia" w:hAnsiTheme="majorHAnsi" w:cstheme="majorBidi"/>
      <w:b/>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254"/>
    <w:pPr>
      <w:tabs>
        <w:tab w:val="center" w:pos="4320"/>
        <w:tab w:val="right" w:pos="8640"/>
      </w:tabs>
    </w:pPr>
  </w:style>
  <w:style w:type="character" w:customStyle="1" w:styleId="HeaderChar">
    <w:name w:val="Header Char"/>
    <w:basedOn w:val="DefaultParagraphFont"/>
    <w:link w:val="Header"/>
    <w:uiPriority w:val="99"/>
    <w:rsid w:val="00053254"/>
  </w:style>
  <w:style w:type="paragraph" w:styleId="Footer">
    <w:name w:val="footer"/>
    <w:basedOn w:val="Normal"/>
    <w:link w:val="FooterChar"/>
    <w:uiPriority w:val="99"/>
    <w:unhideWhenUsed/>
    <w:rsid w:val="00053254"/>
    <w:pPr>
      <w:tabs>
        <w:tab w:val="center" w:pos="4320"/>
        <w:tab w:val="right" w:pos="8640"/>
      </w:tabs>
    </w:pPr>
  </w:style>
  <w:style w:type="character" w:customStyle="1" w:styleId="FooterChar">
    <w:name w:val="Footer Char"/>
    <w:basedOn w:val="DefaultParagraphFont"/>
    <w:link w:val="Footer"/>
    <w:uiPriority w:val="99"/>
    <w:rsid w:val="00053254"/>
  </w:style>
  <w:style w:type="paragraph" w:styleId="BalloonText">
    <w:name w:val="Balloon Text"/>
    <w:basedOn w:val="Normal"/>
    <w:link w:val="BalloonTextChar"/>
    <w:uiPriority w:val="99"/>
    <w:semiHidden/>
    <w:unhideWhenUsed/>
    <w:rsid w:val="000532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254"/>
    <w:rPr>
      <w:rFonts w:ascii="Lucida Grande" w:hAnsi="Lucida Grande" w:cs="Lucida Grande"/>
      <w:sz w:val="18"/>
      <w:szCs w:val="18"/>
    </w:rPr>
  </w:style>
  <w:style w:type="paragraph" w:customStyle="1" w:styleId="Heading">
    <w:name w:val="Heading"/>
    <w:basedOn w:val="Normal"/>
    <w:next w:val="Normal"/>
    <w:qFormat/>
    <w:rsid w:val="00224C6A"/>
    <w:pPr>
      <w:spacing w:after="160"/>
    </w:pPr>
    <w:rPr>
      <w:rFonts w:eastAsiaTheme="minorHAnsi"/>
      <w:bCs/>
      <w:sz w:val="48"/>
      <w:szCs w:val="32"/>
    </w:rPr>
  </w:style>
  <w:style w:type="paragraph" w:customStyle="1" w:styleId="Paragraph">
    <w:name w:val="Paragraph"/>
    <w:basedOn w:val="Normal"/>
    <w:link w:val="ParagraphChar"/>
    <w:qFormat/>
    <w:rsid w:val="0004760D"/>
    <w:pPr>
      <w:spacing w:line="276" w:lineRule="auto"/>
    </w:pPr>
    <w:rPr>
      <w:color w:val="auto"/>
      <w:sz w:val="22"/>
      <w:szCs w:val="22"/>
    </w:rPr>
  </w:style>
  <w:style w:type="paragraph" w:styleId="ListParagraph">
    <w:name w:val="List Paragraph"/>
    <w:basedOn w:val="Normal"/>
    <w:uiPriority w:val="34"/>
    <w:rsid w:val="00D824C0"/>
    <w:pPr>
      <w:ind w:left="720"/>
      <w:contextualSpacing/>
    </w:pPr>
  </w:style>
  <w:style w:type="table" w:styleId="TableGrid">
    <w:name w:val="Table Grid"/>
    <w:basedOn w:val="TableNormal"/>
    <w:uiPriority w:val="59"/>
    <w:rsid w:val="00F8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B6F4F"/>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B6F4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rsid w:val="001B6F4F"/>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B6F4F"/>
    <w:pPr>
      <w:spacing w:before="240" w:after="120"/>
    </w:pPr>
    <w:rPr>
      <w:b/>
      <w:caps/>
      <w:sz w:val="22"/>
      <w:szCs w:val="22"/>
      <w:u w:val="single"/>
    </w:rPr>
  </w:style>
  <w:style w:type="paragraph" w:styleId="TOC2">
    <w:name w:val="toc 2"/>
    <w:basedOn w:val="Normal"/>
    <w:next w:val="Normal"/>
    <w:autoRedefine/>
    <w:uiPriority w:val="39"/>
    <w:semiHidden/>
    <w:unhideWhenUsed/>
    <w:rsid w:val="001B6F4F"/>
    <w:rPr>
      <w:b/>
      <w:smallCaps/>
      <w:sz w:val="22"/>
      <w:szCs w:val="22"/>
    </w:rPr>
  </w:style>
  <w:style w:type="paragraph" w:styleId="TOC3">
    <w:name w:val="toc 3"/>
    <w:basedOn w:val="Normal"/>
    <w:next w:val="Normal"/>
    <w:autoRedefine/>
    <w:uiPriority w:val="39"/>
    <w:semiHidden/>
    <w:unhideWhenUsed/>
    <w:rsid w:val="001B6F4F"/>
    <w:rPr>
      <w:smallCaps/>
      <w:sz w:val="22"/>
      <w:szCs w:val="22"/>
    </w:rPr>
  </w:style>
  <w:style w:type="paragraph" w:styleId="TOC4">
    <w:name w:val="toc 4"/>
    <w:basedOn w:val="Normal"/>
    <w:next w:val="Normal"/>
    <w:autoRedefine/>
    <w:uiPriority w:val="39"/>
    <w:semiHidden/>
    <w:unhideWhenUsed/>
    <w:rsid w:val="001B6F4F"/>
    <w:rPr>
      <w:sz w:val="22"/>
      <w:szCs w:val="22"/>
    </w:rPr>
  </w:style>
  <w:style w:type="paragraph" w:styleId="TOC5">
    <w:name w:val="toc 5"/>
    <w:basedOn w:val="Normal"/>
    <w:next w:val="Normal"/>
    <w:autoRedefine/>
    <w:uiPriority w:val="39"/>
    <w:semiHidden/>
    <w:unhideWhenUsed/>
    <w:rsid w:val="001B6F4F"/>
    <w:rPr>
      <w:sz w:val="22"/>
      <w:szCs w:val="22"/>
    </w:rPr>
  </w:style>
  <w:style w:type="paragraph" w:styleId="TOC6">
    <w:name w:val="toc 6"/>
    <w:basedOn w:val="Normal"/>
    <w:next w:val="Normal"/>
    <w:autoRedefine/>
    <w:uiPriority w:val="39"/>
    <w:semiHidden/>
    <w:unhideWhenUsed/>
    <w:rsid w:val="001B6F4F"/>
    <w:rPr>
      <w:sz w:val="22"/>
      <w:szCs w:val="22"/>
    </w:rPr>
  </w:style>
  <w:style w:type="paragraph" w:styleId="TOC7">
    <w:name w:val="toc 7"/>
    <w:basedOn w:val="Normal"/>
    <w:next w:val="Normal"/>
    <w:autoRedefine/>
    <w:uiPriority w:val="39"/>
    <w:semiHidden/>
    <w:unhideWhenUsed/>
    <w:rsid w:val="001B6F4F"/>
    <w:rPr>
      <w:sz w:val="22"/>
      <w:szCs w:val="22"/>
    </w:rPr>
  </w:style>
  <w:style w:type="paragraph" w:styleId="TOC8">
    <w:name w:val="toc 8"/>
    <w:basedOn w:val="Normal"/>
    <w:next w:val="Normal"/>
    <w:autoRedefine/>
    <w:uiPriority w:val="39"/>
    <w:semiHidden/>
    <w:unhideWhenUsed/>
    <w:rsid w:val="001B6F4F"/>
    <w:rPr>
      <w:sz w:val="22"/>
      <w:szCs w:val="22"/>
    </w:rPr>
  </w:style>
  <w:style w:type="paragraph" w:styleId="TOC9">
    <w:name w:val="toc 9"/>
    <w:basedOn w:val="Normal"/>
    <w:next w:val="Normal"/>
    <w:autoRedefine/>
    <w:uiPriority w:val="39"/>
    <w:semiHidden/>
    <w:unhideWhenUsed/>
    <w:rsid w:val="001B6F4F"/>
    <w:rPr>
      <w:sz w:val="22"/>
      <w:szCs w:val="22"/>
    </w:rPr>
  </w:style>
  <w:style w:type="character" w:styleId="PageNumber">
    <w:name w:val="page number"/>
    <w:basedOn w:val="DefaultParagraphFont"/>
    <w:uiPriority w:val="99"/>
    <w:semiHidden/>
    <w:unhideWhenUsed/>
    <w:rsid w:val="001B6F4F"/>
  </w:style>
  <w:style w:type="paragraph" w:styleId="NoSpacing">
    <w:name w:val="No Spacing"/>
    <w:aliases w:val="Subheading 2"/>
    <w:basedOn w:val="Normal"/>
    <w:uiPriority w:val="1"/>
    <w:qFormat/>
    <w:rsid w:val="00224C6A"/>
    <w:rPr>
      <w:sz w:val="24"/>
    </w:rPr>
  </w:style>
  <w:style w:type="paragraph" w:customStyle="1" w:styleId="Bullet1">
    <w:name w:val="Bullet 1"/>
    <w:basedOn w:val="Paragraph"/>
    <w:link w:val="Bullet1Char"/>
    <w:qFormat/>
    <w:rsid w:val="004E2700"/>
    <w:pPr>
      <w:numPr>
        <w:numId w:val="5"/>
      </w:numPr>
      <w:spacing w:after="40" w:line="240" w:lineRule="auto"/>
      <w:ind w:hanging="357"/>
    </w:pPr>
  </w:style>
  <w:style w:type="paragraph" w:customStyle="1" w:styleId="Bullet2">
    <w:name w:val="Bullet 2"/>
    <w:basedOn w:val="Bullet1"/>
    <w:link w:val="Bullet2Char"/>
    <w:qFormat/>
    <w:rsid w:val="004E2700"/>
    <w:pPr>
      <w:numPr>
        <w:ilvl w:val="1"/>
        <w:numId w:val="7"/>
      </w:numPr>
    </w:pPr>
  </w:style>
  <w:style w:type="character" w:customStyle="1" w:styleId="ParagraphChar">
    <w:name w:val="Paragraph Char"/>
    <w:basedOn w:val="DefaultParagraphFont"/>
    <w:link w:val="Paragraph"/>
    <w:rsid w:val="00855905"/>
    <w:rPr>
      <w:rFonts w:ascii="Arial" w:hAnsi="Arial" w:cs="Arial"/>
      <w:sz w:val="22"/>
      <w:szCs w:val="22"/>
    </w:rPr>
  </w:style>
  <w:style w:type="character" w:customStyle="1" w:styleId="Bullet1Char">
    <w:name w:val="Bullet 1 Char"/>
    <w:basedOn w:val="ParagraphChar"/>
    <w:link w:val="Bullet1"/>
    <w:rsid w:val="004E2700"/>
    <w:rPr>
      <w:rFonts w:ascii="Arial" w:hAnsi="Arial" w:cs="Arial"/>
      <w:sz w:val="22"/>
      <w:szCs w:val="22"/>
    </w:rPr>
  </w:style>
  <w:style w:type="paragraph" w:customStyle="1" w:styleId="Numberedbullets">
    <w:name w:val="Numbered bullets"/>
    <w:basedOn w:val="Paragraph"/>
    <w:link w:val="NumberedbulletsChar"/>
    <w:qFormat/>
    <w:rsid w:val="004E2700"/>
    <w:pPr>
      <w:numPr>
        <w:numId w:val="9"/>
      </w:numPr>
      <w:spacing w:after="40" w:line="240" w:lineRule="auto"/>
      <w:ind w:left="1077"/>
    </w:pPr>
  </w:style>
  <w:style w:type="character" w:customStyle="1" w:styleId="Bullet2Char">
    <w:name w:val="Bullet 2 Char"/>
    <w:basedOn w:val="Bullet1Char"/>
    <w:link w:val="Bullet2"/>
    <w:rsid w:val="004E2700"/>
    <w:rPr>
      <w:rFonts w:ascii="Arial" w:hAnsi="Arial" w:cs="Arial"/>
      <w:sz w:val="22"/>
      <w:szCs w:val="22"/>
    </w:rPr>
  </w:style>
  <w:style w:type="paragraph" w:customStyle="1" w:styleId="PolicyTableGreyText">
    <w:name w:val="Policy Table Grey Text"/>
    <w:basedOn w:val="Paragraph"/>
    <w:link w:val="PolicyTableGreyTextChar"/>
    <w:qFormat/>
    <w:rsid w:val="000C3E0A"/>
    <w:pPr>
      <w:framePr w:hSpace="180" w:wrap="around" w:vAnchor="text" w:hAnchor="page" w:xAlign="center" w:y="15"/>
      <w:widowControl w:val="0"/>
      <w:suppressAutoHyphens/>
      <w:autoSpaceDE w:val="0"/>
      <w:autoSpaceDN w:val="0"/>
      <w:adjustRightInd w:val="0"/>
      <w:spacing w:before="40" w:after="40" w:line="240" w:lineRule="auto"/>
      <w:textAlignment w:val="center"/>
    </w:pPr>
    <w:rPr>
      <w:rFonts w:ascii="Calibri" w:eastAsiaTheme="minorHAnsi" w:hAnsi="Calibri" w:cs="Calibri"/>
      <w:color w:val="808080" w:themeColor="background1" w:themeShade="80"/>
      <w:sz w:val="18"/>
      <w:szCs w:val="18"/>
      <w:lang w:val="en-AU"/>
    </w:rPr>
  </w:style>
  <w:style w:type="character" w:customStyle="1" w:styleId="NumberedbulletsChar">
    <w:name w:val="Numbered bullets Char"/>
    <w:basedOn w:val="ParagraphChar"/>
    <w:link w:val="Numberedbullets"/>
    <w:rsid w:val="004E2700"/>
    <w:rPr>
      <w:rFonts w:ascii="Arial" w:hAnsi="Arial" w:cs="Arial"/>
      <w:sz w:val="22"/>
      <w:szCs w:val="22"/>
    </w:rPr>
  </w:style>
  <w:style w:type="paragraph" w:customStyle="1" w:styleId="PolicyTableHyperlink">
    <w:name w:val="Policy Table Hyperlink"/>
    <w:basedOn w:val="PolicyTableGreyText"/>
    <w:link w:val="PolicyTableHyperlinkChar"/>
    <w:uiPriority w:val="8"/>
    <w:qFormat/>
    <w:rsid w:val="000C3E0A"/>
    <w:pPr>
      <w:framePr w:wrap="around"/>
    </w:pPr>
    <w:rPr>
      <w:u w:val="single"/>
    </w:rPr>
  </w:style>
  <w:style w:type="character" w:customStyle="1" w:styleId="PolicyTableGreyTextChar">
    <w:name w:val="Policy Table Grey Text Char"/>
    <w:basedOn w:val="ParagraphChar"/>
    <w:link w:val="PolicyTableGreyText"/>
    <w:rsid w:val="000C3E0A"/>
    <w:rPr>
      <w:rFonts w:ascii="Calibri" w:eastAsiaTheme="minorHAnsi" w:hAnsi="Calibri" w:cs="Calibri"/>
      <w:color w:val="808080" w:themeColor="background1" w:themeShade="80"/>
      <w:sz w:val="18"/>
      <w:szCs w:val="18"/>
      <w:lang w:val="en-AU"/>
    </w:rPr>
  </w:style>
  <w:style w:type="character" w:customStyle="1" w:styleId="PolicyTableHyperlinkChar">
    <w:name w:val="Policy Table Hyperlink Char"/>
    <w:basedOn w:val="PolicyTableGreyTextChar"/>
    <w:link w:val="PolicyTableHyperlink"/>
    <w:uiPriority w:val="8"/>
    <w:rsid w:val="000C3E0A"/>
    <w:rPr>
      <w:rFonts w:ascii="Calibri" w:eastAsiaTheme="minorHAnsi" w:hAnsi="Calibri" w:cs="Calibri"/>
      <w:color w:val="808080" w:themeColor="background1" w:themeShade="80"/>
      <w:sz w:val="18"/>
      <w:szCs w:val="18"/>
      <w:u w:val="single"/>
      <w:lang w:val="en-AU"/>
    </w:rPr>
  </w:style>
  <w:style w:type="character" w:styleId="Hyperlink">
    <w:name w:val="Hyperlink"/>
    <w:basedOn w:val="DefaultParagraphFont"/>
    <w:uiPriority w:val="99"/>
    <w:unhideWhenUsed/>
    <w:rsid w:val="000C3E0A"/>
    <w:rPr>
      <w:color w:val="0000FF" w:themeColor="hyperlink"/>
      <w:u w:val="single"/>
    </w:rPr>
  </w:style>
  <w:style w:type="paragraph" w:customStyle="1" w:styleId="Footer1">
    <w:name w:val="Footer 1"/>
    <w:basedOn w:val="Normal"/>
    <w:link w:val="Footer1Char"/>
    <w:qFormat/>
    <w:rsid w:val="00C87DA7"/>
    <w:rPr>
      <w:color w:val="BFBFBF" w:themeColor="background1" w:themeShade="BF"/>
      <w:sz w:val="18"/>
    </w:rPr>
  </w:style>
  <w:style w:type="paragraph" w:customStyle="1" w:styleId="Style1">
    <w:name w:val="Style1"/>
    <w:basedOn w:val="Footer"/>
    <w:link w:val="Style1Char"/>
    <w:qFormat/>
    <w:rsid w:val="00F30A7A"/>
    <w:pPr>
      <w:jc w:val="right"/>
    </w:pPr>
    <w:rPr>
      <w:noProof/>
      <w:color w:val="FFFFFF" w:themeColor="background1"/>
      <w:sz w:val="20"/>
      <w:lang w:val="en-AU" w:eastAsia="en-AU"/>
    </w:rPr>
  </w:style>
  <w:style w:type="character" w:customStyle="1" w:styleId="Footer1Char">
    <w:name w:val="Footer 1 Char"/>
    <w:basedOn w:val="DefaultParagraphFont"/>
    <w:link w:val="Footer1"/>
    <w:rsid w:val="00C87DA7"/>
    <w:rPr>
      <w:rFonts w:ascii="Arial" w:hAnsi="Arial" w:cs="Arial"/>
      <w:color w:val="BFBFBF" w:themeColor="background1" w:themeShade="BF"/>
      <w:sz w:val="18"/>
      <w:szCs w:val="30"/>
    </w:rPr>
  </w:style>
  <w:style w:type="paragraph" w:customStyle="1" w:styleId="Pagenumbers">
    <w:name w:val="Page numbers"/>
    <w:basedOn w:val="Footer"/>
    <w:link w:val="PagenumbersChar"/>
    <w:qFormat/>
    <w:rsid w:val="004E2700"/>
    <w:pPr>
      <w:jc w:val="right"/>
    </w:pPr>
    <w:rPr>
      <w:color w:val="FFFFFF" w:themeColor="background1"/>
      <w:sz w:val="20"/>
    </w:rPr>
  </w:style>
  <w:style w:type="character" w:customStyle="1" w:styleId="Style1Char">
    <w:name w:val="Style1 Char"/>
    <w:basedOn w:val="FooterChar"/>
    <w:link w:val="Style1"/>
    <w:rsid w:val="00F30A7A"/>
    <w:rPr>
      <w:rFonts w:ascii="Arial" w:hAnsi="Arial" w:cs="Arial"/>
      <w:noProof/>
      <w:color w:val="FFFFFF" w:themeColor="background1"/>
      <w:sz w:val="20"/>
      <w:szCs w:val="30"/>
      <w:lang w:val="en-AU" w:eastAsia="en-AU"/>
    </w:rPr>
  </w:style>
  <w:style w:type="character" w:customStyle="1" w:styleId="PagenumbersChar">
    <w:name w:val="Page numbers Char"/>
    <w:basedOn w:val="FooterChar"/>
    <w:link w:val="Pagenumbers"/>
    <w:rsid w:val="004E2700"/>
    <w:rPr>
      <w:rFonts w:ascii="Arial" w:hAnsi="Arial" w:cs="Arial"/>
      <w:color w:val="FFFFFF" w:themeColor="background1"/>
      <w:sz w:val="20"/>
      <w:szCs w:val="30"/>
    </w:rPr>
  </w:style>
  <w:style w:type="paragraph" w:customStyle="1" w:styleId="Definitions">
    <w:name w:val="Definitions"/>
    <w:basedOn w:val="Paragraph"/>
    <w:link w:val="DefinitionsChar"/>
    <w:qFormat/>
    <w:rsid w:val="004A4014"/>
    <w:pPr>
      <w:widowControl w:val="0"/>
      <w:suppressAutoHyphens/>
      <w:autoSpaceDE w:val="0"/>
      <w:autoSpaceDN w:val="0"/>
      <w:adjustRightInd w:val="0"/>
      <w:spacing w:after="80" w:line="264" w:lineRule="auto"/>
      <w:ind w:left="2160" w:hanging="2160"/>
      <w:textAlignment w:val="center"/>
    </w:pPr>
    <w:rPr>
      <w:rFonts w:cs="Calibri"/>
      <w:i/>
      <w:color w:val="000000"/>
      <w:sz w:val="20"/>
      <w:szCs w:val="20"/>
    </w:rPr>
  </w:style>
  <w:style w:type="character" w:customStyle="1" w:styleId="DefinitionsChar">
    <w:name w:val="Definitions Char"/>
    <w:basedOn w:val="ParagraphChar"/>
    <w:link w:val="Definitions"/>
    <w:rsid w:val="004A4014"/>
    <w:rPr>
      <w:rFonts w:ascii="Arial" w:hAnsi="Arial" w:cs="Calibri"/>
      <w:i/>
      <w:color w:val="000000"/>
      <w:sz w:val="20"/>
      <w:szCs w:val="20"/>
    </w:rPr>
  </w:style>
  <w:style w:type="character" w:styleId="CommentReference">
    <w:name w:val="annotation reference"/>
    <w:basedOn w:val="DefaultParagraphFont"/>
    <w:uiPriority w:val="99"/>
    <w:semiHidden/>
    <w:unhideWhenUsed/>
    <w:rsid w:val="004A4014"/>
    <w:rPr>
      <w:sz w:val="16"/>
      <w:szCs w:val="16"/>
    </w:rPr>
  </w:style>
  <w:style w:type="paragraph" w:styleId="CommentText">
    <w:name w:val="annotation text"/>
    <w:basedOn w:val="Normal"/>
    <w:link w:val="CommentTextChar"/>
    <w:uiPriority w:val="99"/>
    <w:semiHidden/>
    <w:unhideWhenUsed/>
    <w:rsid w:val="004A4014"/>
    <w:pPr>
      <w:spacing w:after="120" w:line="264" w:lineRule="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4A4014"/>
    <w:rPr>
      <w:sz w:val="20"/>
      <w:szCs w:val="20"/>
    </w:rPr>
  </w:style>
  <w:style w:type="paragraph" w:styleId="Revision">
    <w:name w:val="Revision"/>
    <w:hidden/>
    <w:uiPriority w:val="99"/>
    <w:semiHidden/>
    <w:rsid w:val="004A4014"/>
    <w:rPr>
      <w:rFonts w:ascii="Arial" w:hAnsi="Arial" w:cs="Arial"/>
      <w:color w:val="F57E20"/>
      <w:sz w:val="32"/>
      <w:szCs w:val="30"/>
    </w:rPr>
  </w:style>
  <w:style w:type="paragraph" w:customStyle="1" w:styleId="HeadingB">
    <w:name w:val="Heading B"/>
    <w:basedOn w:val="Normal"/>
    <w:next w:val="Paragraph"/>
    <w:link w:val="HeadingBChar"/>
    <w:qFormat/>
    <w:rsid w:val="004A4014"/>
    <w:pPr>
      <w:spacing w:before="160" w:after="80" w:line="264" w:lineRule="auto"/>
    </w:pPr>
    <w:rPr>
      <w:rFonts w:asciiTheme="minorHAnsi" w:hAnsiTheme="minorHAnsi" w:cs="Calibri-Bold"/>
      <w:bCs/>
      <w:color w:val="E97200"/>
      <w:spacing w:val="6"/>
      <w:sz w:val="30"/>
      <w:szCs w:val="20"/>
    </w:rPr>
  </w:style>
  <w:style w:type="paragraph" w:customStyle="1" w:styleId="NumberedBullets0">
    <w:name w:val="Numbered Bullets"/>
    <w:basedOn w:val="Paragraph"/>
    <w:link w:val="NumberedBulletsChar0"/>
    <w:qFormat/>
    <w:rsid w:val="004A4014"/>
    <w:pPr>
      <w:widowControl w:val="0"/>
      <w:suppressAutoHyphens/>
      <w:autoSpaceDE w:val="0"/>
      <w:autoSpaceDN w:val="0"/>
      <w:adjustRightInd w:val="0"/>
      <w:spacing w:after="120" w:line="264" w:lineRule="auto"/>
      <w:ind w:left="284" w:hanging="284"/>
      <w:contextualSpacing/>
      <w:textAlignment w:val="center"/>
    </w:pPr>
    <w:rPr>
      <w:rFonts w:cs="Calibri"/>
      <w:color w:val="000000"/>
      <w:sz w:val="20"/>
      <w:szCs w:val="20"/>
    </w:rPr>
  </w:style>
  <w:style w:type="character" w:customStyle="1" w:styleId="HeadingBChar">
    <w:name w:val="Heading B Char"/>
    <w:basedOn w:val="DefaultParagraphFont"/>
    <w:link w:val="HeadingB"/>
    <w:rsid w:val="004A4014"/>
    <w:rPr>
      <w:rFonts w:cs="Calibri-Bold"/>
      <w:bCs/>
      <w:color w:val="E97200"/>
      <w:spacing w:val="6"/>
      <w:sz w:val="30"/>
      <w:szCs w:val="20"/>
    </w:rPr>
  </w:style>
  <w:style w:type="paragraph" w:customStyle="1" w:styleId="HeadingC">
    <w:name w:val="Heading C"/>
    <w:basedOn w:val="Normal"/>
    <w:next w:val="Paragraph"/>
    <w:link w:val="HeadingCChar"/>
    <w:qFormat/>
    <w:rsid w:val="004A4014"/>
    <w:pPr>
      <w:spacing w:before="160" w:after="80" w:line="264" w:lineRule="auto"/>
    </w:pPr>
    <w:rPr>
      <w:rFonts w:asciiTheme="minorHAnsi" w:hAnsiTheme="minorHAnsi" w:cs="Calibri-Bold"/>
      <w:bCs/>
      <w:color w:val="E97200"/>
      <w:spacing w:val="6"/>
      <w:sz w:val="24"/>
      <w:szCs w:val="24"/>
    </w:rPr>
  </w:style>
  <w:style w:type="character" w:customStyle="1" w:styleId="HeadingCChar">
    <w:name w:val="Heading C Char"/>
    <w:basedOn w:val="DefaultParagraphFont"/>
    <w:link w:val="HeadingC"/>
    <w:rsid w:val="004A4014"/>
    <w:rPr>
      <w:rFonts w:cs="Calibri-Bold"/>
      <w:bCs/>
      <w:color w:val="E97200"/>
      <w:spacing w:val="6"/>
    </w:rPr>
  </w:style>
  <w:style w:type="character" w:customStyle="1" w:styleId="NumberedBulletsChar0">
    <w:name w:val="Numbered Bullets Char"/>
    <w:basedOn w:val="ParagraphChar"/>
    <w:link w:val="NumberedBullets0"/>
    <w:rsid w:val="004A4014"/>
    <w:rPr>
      <w:rFonts w:ascii="Arial" w:hAnsi="Arial" w:cs="Calibri"/>
      <w:color w:val="000000"/>
      <w:sz w:val="20"/>
      <w:szCs w:val="20"/>
    </w:rPr>
  </w:style>
  <w:style w:type="character" w:styleId="FollowedHyperlink">
    <w:name w:val="FollowedHyperlink"/>
    <w:basedOn w:val="DefaultParagraphFont"/>
    <w:uiPriority w:val="99"/>
    <w:semiHidden/>
    <w:unhideWhenUsed/>
    <w:rsid w:val="0072286B"/>
    <w:rPr>
      <w:color w:val="800080" w:themeColor="followedHyperlink"/>
      <w:u w:val="single"/>
    </w:rPr>
  </w:style>
  <w:style w:type="character" w:styleId="UnresolvedMention">
    <w:name w:val="Unresolved Mention"/>
    <w:basedOn w:val="DefaultParagraphFont"/>
    <w:uiPriority w:val="99"/>
    <w:semiHidden/>
    <w:unhideWhenUsed/>
    <w:rsid w:val="00874BA0"/>
    <w:rPr>
      <w:color w:val="605E5C"/>
      <w:shd w:val="clear" w:color="auto" w:fill="E1DFDD"/>
    </w:rPr>
  </w:style>
  <w:style w:type="paragraph" w:customStyle="1" w:styleId="Default">
    <w:name w:val="Default"/>
    <w:rsid w:val="00366C86"/>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461110">
      <w:bodyDiv w:val="1"/>
      <w:marLeft w:val="0"/>
      <w:marRight w:val="0"/>
      <w:marTop w:val="0"/>
      <w:marBottom w:val="0"/>
      <w:divBdr>
        <w:top w:val="none" w:sz="0" w:space="0" w:color="auto"/>
        <w:left w:val="none" w:sz="0" w:space="0" w:color="auto"/>
        <w:bottom w:val="none" w:sz="0" w:space="0" w:color="auto"/>
        <w:right w:val="none" w:sz="0" w:space="0" w:color="auto"/>
      </w:divBdr>
    </w:div>
    <w:div w:id="733432447">
      <w:bodyDiv w:val="1"/>
      <w:marLeft w:val="0"/>
      <w:marRight w:val="0"/>
      <w:marTop w:val="0"/>
      <w:marBottom w:val="0"/>
      <w:divBdr>
        <w:top w:val="none" w:sz="0" w:space="0" w:color="auto"/>
        <w:left w:val="none" w:sz="0" w:space="0" w:color="auto"/>
        <w:bottom w:val="none" w:sz="0" w:space="0" w:color="auto"/>
        <w:right w:val="none" w:sz="0" w:space="0" w:color="auto"/>
      </w:divBdr>
    </w:div>
    <w:div w:id="819003875">
      <w:bodyDiv w:val="1"/>
      <w:marLeft w:val="0"/>
      <w:marRight w:val="0"/>
      <w:marTop w:val="0"/>
      <w:marBottom w:val="0"/>
      <w:divBdr>
        <w:top w:val="none" w:sz="0" w:space="0" w:color="auto"/>
        <w:left w:val="none" w:sz="0" w:space="0" w:color="auto"/>
        <w:bottom w:val="none" w:sz="0" w:space="0" w:color="auto"/>
        <w:right w:val="none" w:sz="0" w:space="0" w:color="auto"/>
      </w:divBdr>
    </w:div>
    <w:div w:id="1523669710">
      <w:bodyDiv w:val="1"/>
      <w:marLeft w:val="0"/>
      <w:marRight w:val="0"/>
      <w:marTop w:val="0"/>
      <w:marBottom w:val="0"/>
      <w:divBdr>
        <w:top w:val="none" w:sz="0" w:space="0" w:color="auto"/>
        <w:left w:val="none" w:sz="0" w:space="0" w:color="auto"/>
        <w:bottom w:val="none" w:sz="0" w:space="0" w:color="auto"/>
        <w:right w:val="none" w:sz="0" w:space="0" w:color="auto"/>
      </w:divBdr>
    </w:div>
    <w:div w:id="1844777664">
      <w:bodyDiv w:val="1"/>
      <w:marLeft w:val="0"/>
      <w:marRight w:val="0"/>
      <w:marTop w:val="0"/>
      <w:marBottom w:val="0"/>
      <w:divBdr>
        <w:top w:val="none" w:sz="0" w:space="0" w:color="auto"/>
        <w:left w:val="none" w:sz="0" w:space="0" w:color="auto"/>
        <w:bottom w:val="none" w:sz="0" w:space="0" w:color="auto"/>
        <w:right w:val="none" w:sz="0" w:space="0" w:color="auto"/>
      </w:divBdr>
    </w:div>
    <w:div w:id="2069716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twd.wa.gov.au/dtwcorporateinfo/policiesandguidelines/Documents/VET%20Fees%20and%20Charges%20Policy%202015%20%28version%201.0%29.pdf" TargetMode="External"/><Relationship Id="rId18" Type="http://schemas.openxmlformats.org/officeDocument/2006/relationships/hyperlink" Target="https://www.wa.gov.au/service/education-and-training/vocational-education/vocational-education-and-training-delivered-secondary-students-information-and-support-wa-practitioners-and-training-providers" TargetMode="External"/><Relationship Id="rId26" Type="http://schemas.openxmlformats.org/officeDocument/2006/relationships/hyperlink" Target="https://www.wa.gov.au/government/publications/vocational-education-and-training-delivered-secondary-students-funded-courses-list" TargetMode="External"/><Relationship Id="rId3" Type="http://schemas.openxmlformats.org/officeDocument/2006/relationships/customXml" Target="../customXml/item3.xml"/><Relationship Id="rId21" Type="http://schemas.openxmlformats.org/officeDocument/2006/relationships/hyperlink" Target="https://tafewa.sharepoint.com/sites/NRT_Controlled_Documents/Doc_Hub/Published_Library/Forms/Published_Documents.aspx?id=%2Fsites%2FNRT%5FControlled%5FDocuments%2FDoc%5FHub%2FPublished%5FLibrary%2F2025%20DTWD%20VET%20Fees%20and%20Charges%20Policy%2EPDF&amp;parent=%2Fsites%2FNRT%5FControlled%5FDocuments%2FDoc%5FHub%2FPublished%5FLibrary"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afewa.sharepoint.com/:b:/r/sites/NRT_Controlled_Documents/Doc_Hub/Published_Library/2025%20DTWD%20VET%20Fees%20and%20Charges%20Policy.PDF?csf=1&amp;web=1&amp;e=VHjpAE" TargetMode="External"/><Relationship Id="rId25" Type="http://schemas.openxmlformats.org/officeDocument/2006/relationships/hyperlink" Target="https://www.dtwd.wa.gov.au/training-providers-and-schools/vet-school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wd.wa.gov.au/about-us/legislative-framework-policies-and-guidelines/policy" TargetMode="External"/><Relationship Id="rId20" Type="http://schemas.openxmlformats.org/officeDocument/2006/relationships/hyperlink" Target="https://www.tafeinternational.wa.edu.au/sites/default/files/documents/visa-subclass-guide-vet.pdf" TargetMode="External"/><Relationship Id="rId29" Type="http://schemas.openxmlformats.org/officeDocument/2006/relationships/hyperlink" Target="https://www.northregionaltafe.wa.edu.au/lets-do-it/vet-student-loa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tafewa.sharepoint.com/:b:/r/sites/NRT_Controlled_Documents/Doc_Hub/Published_Library/2025%20DTWD%20VET%20Fees%20and%20Charges%20Policy.PDF?csf=1&amp;web=1&amp;e=mc7ECv"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jobsandskills.wa.gov.au/training" TargetMode="External"/><Relationship Id="rId23" Type="http://schemas.openxmlformats.org/officeDocument/2006/relationships/hyperlink" Target="https://www.northregionaltafe.wa.edu.au/futurestudents/vetstudentloans" TargetMode="External"/><Relationship Id="rId28" Type="http://schemas.openxmlformats.org/officeDocument/2006/relationships/hyperlink" Target="https://www.tafeinternational.wa.edu.au/help-and-advice/visa"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wa.gov.au/government/publications/vocational-education-and-training-delivered-secondary-students-funded-courses-list" TargetMode="External"/><Relationship Id="rId31" Type="http://schemas.openxmlformats.org/officeDocument/2006/relationships/hyperlink" Target="https://tafewa.sharepoint.com/:b:/s/NRT_Student_Operations_Teams/EZZ_E7OHC1hNtdTkixPleEYBgyrEh0lGDF0KePLQ7-dAUA?e=2hYeF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twd.wa.gov.au/about-us/legislative-framework-policies-and-guidelines/policy" TargetMode="External"/><Relationship Id="rId22" Type="http://schemas.openxmlformats.org/officeDocument/2006/relationships/hyperlink" Target="https://www.dewr.gov.au/vet-student-loans" TargetMode="External"/><Relationship Id="rId27" Type="http://schemas.openxmlformats.org/officeDocument/2006/relationships/hyperlink" Target="https://www.northregionaltafe.wa.edu.au/lets-do-it/fees-and-payment-options" TargetMode="External"/><Relationship Id="rId30" Type="http://schemas.openxmlformats.org/officeDocument/2006/relationships/hyperlink" Target="https://tafewa.sharepoint.com/sites/NRT_Controlled_Documents/Doc_Hub/Draft_Library/Forms/Draft_Documents.aspx?id=%2Fsites%2FNRT%5FControlled%5FDocuments%2FDoc%5FHub%2FDraft%5FLibrary&amp;newTargetListUrl=%2Fsites%2FNRT%5FControlled%5FDocuments%2FDoc%5FHub%2FDraft%5FLibrary&amp;viewpath=%2Fsites%2FNRT%5FControlled%5FDocuments%2FDoc%5FHub%2FDraft%5FLibrary%2FForms%2FDraft%5FDocuments%2Easpx&amp;useFiltersInViewXml=1&amp;FilterField1=Document%5Fx0020%5FType&amp;FilterValue1=Policy&amp;FilterType1=Choice&amp;FilterOp1=In" TargetMode="External"/><Relationship Id="rId35" Type="http://schemas.openxmlformats.org/officeDocument/2006/relationships/fontTable" Target="fontTable.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ntity xmlns="f76bb202-e0ee-44b5-81bd-1165e74daad9">NR TAFE</Entity>
    <Document_x0020_Publisher xmlns="5ae04d3c-143d-44b1-9de7-bd4bbc3b5a14">
      <UserInfo>
        <DisplayName>Laura Slager</DisplayName>
        <AccountId>103</AccountId>
        <AccountType/>
      </UserInfo>
    </Document_x0020_Publisher>
    <Site xmlns="f76bb202-e0ee-44b5-81bd-1165e74daad9">Doc Hub</Site>
    <Obsolete xmlns="5ae04d3c-143d-44b1-9de7-bd4bbc3b5a14">false</Obsolete>
    <Document_x0020_Approver xmlns="5ae04d3c-143d-44b1-9de7-bd4bbc3b5a14">
      <UserInfo>
        <DisplayName>Lee-Anne Springer</DisplayName>
        <AccountId>23</AccountId>
        <AccountType/>
      </UserInfo>
    </Document_x0020_Approver>
    <Published_x0020_Version xmlns="5ae04d3c-143d-44b1-9de7-bd4bbc3b5a14">13</Published_x0020_Version>
    <Document_x0020_Set_x0020_Status xmlns="f76bb202-e0ee-44b5-81bd-1165e74daad9" xsi:nil="true"/>
    <Comment1 xmlns="5ae04d3c-143d-44b1-9de7-bd4bbc3b5a14">Approved by Chantal Adams and myself.</Comment1>
    <Document_x0020_Type xmlns="5ae04d3c-143d-44b1-9de7-bd4bbc3b5a14">Policy</Document_x0020_Type>
    <approval_status_previous xmlns="5ae04d3c-143d-44b1-9de7-bd4bbc3b5a14">Approved</approval_status_previous>
    <file_mapping_id xmlns="5ae04d3c-143d-44b1-9de7-bd4bbc3b5a14">633</file_mapping_id>
    <name_previous xmlns="5ae04d3c-143d-44b1-9de7-bd4bbc3b5a14">Student Fees and Charges Policy.docx</name_previous>
    <Next_x0020_Review_x0020_Due xmlns="5ae04d3c-143d-44b1-9de7-bd4bbc3b5a14">2025-01-05T16:00:00+00:00</Next_x0020_Review_x0020_Due>
    <Issuing_x0020_Department xmlns="5ae04d3c-143d-44b1-9de7-bd4bbc3b5a14">Client Services</Issuing_x0020_Department>
    <CM_x0020_Reference xmlns="5ae04d3c-143d-44b1-9de7-bd4bbc3b5a14">NRT/D21/0089355</CM_x0020_Reference>
    <obsolete_previous xmlns="5ae04d3c-143d-44b1-9de7-bd4bbc3b5a14">False</obsolete_previous>
    <Approval_Status xmlns="5ae04d3c-143d-44b1-9de7-bd4bbc3b5a14">Approved</Approval_Status>
    <Document_x0020_Owner xmlns="5ae04d3c-143d-44b1-9de7-bd4bbc3b5a14">
      <UserInfo>
        <DisplayName>Lee-Anne Springer</DisplayName>
        <AccountId>23</AccountId>
        <AccountType/>
      </UserInfo>
    </Document_x0020_Owner>
    <Library xmlns="f76bb202-e0ee-44b5-81bd-1165e74daad9">Published</Library>
    <_dlc_DocId xmlns="5ae04d3c-143d-44b1-9de7-bd4bbc3b5a14">NRTCTRLDOC-224117968-1095</_dlc_DocId>
    <_dlc_DocIdUrl xmlns="5ae04d3c-143d-44b1-9de7-bd4bbc3b5a14">
      <Url>https://tafewa.sharepoint.com/sites/NRT_Controlled_Documents/Doc_Hub/_layouts/15/DocIdRedir.aspx?ID=NRTCTRLDOC-224117968-1095</Url>
      <Description>NRTCTRLDOC-224117968-1095</Description>
    </_dlc_DocIdUrl>
    <_dlc_DocIdPersistId xmlns="5ae04d3c-143d-44b1-9de7-bd4bbc3b5a14">false</_dlc_DocIdPersistId>
    <Committee_x0020_Approval_x0020_Date xmlns="5ae04d3c-143d-44b1-9de7-bd4bbc3b5a14">2024-02-27T16:00:00+00:00</Committee_x0020_Approval_x0020_Date>
    <TaxCatchAll xmlns="5ae04d3c-143d-44b1-9de7-bd4bbc3b5a14" xsi:nil="true"/>
    <lcf76f155ced4ddcb4097134ff3c332f xmlns="f0c92f0d-8860-4706-b3a6-a7e69cfb7c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0E64A23F1383D74E9A471A69050FD18B00C0143F45B2E9684AB2D20940988B7043004514CB6BF867D948B777B912758FEDA1" ma:contentTypeVersion="40" ma:contentTypeDescription="" ma:contentTypeScope="" ma:versionID="a11deeb79564e5148ca725dc384e8a7f">
  <xsd:schema xmlns:xsd="http://www.w3.org/2001/XMLSchema" xmlns:xs="http://www.w3.org/2001/XMLSchema" xmlns:p="http://schemas.microsoft.com/office/2006/metadata/properties" xmlns:ns2="5ae04d3c-143d-44b1-9de7-bd4bbc3b5a14" xmlns:ns3="f76bb202-e0ee-44b5-81bd-1165e74daad9" xmlns:ns4="f0c92f0d-8860-4706-b3a6-a7e69cfb7c83" xmlns:ns5="3f9cd180-403f-4607-bc28-de899269a8c2" targetNamespace="http://schemas.microsoft.com/office/2006/metadata/properties" ma:root="true" ma:fieldsID="848171686925f05134e12026241a7fa1" ns2:_="" ns3:_="" ns4:_="" ns5:_="">
    <xsd:import namespace="5ae04d3c-143d-44b1-9de7-bd4bbc3b5a14"/>
    <xsd:import namespace="f76bb202-e0ee-44b5-81bd-1165e74daad9"/>
    <xsd:import namespace="f0c92f0d-8860-4706-b3a6-a7e69cfb7c83"/>
    <xsd:import namespace="3f9cd180-403f-4607-bc28-de899269a8c2"/>
    <xsd:element name="properties">
      <xsd:complexType>
        <xsd:sequence>
          <xsd:element name="documentManagement">
            <xsd:complexType>
              <xsd:all>
                <xsd:element ref="ns2:Obsolete" minOccurs="0"/>
                <xsd:element ref="ns2:Document_x0020_Type" minOccurs="0"/>
                <xsd:element ref="ns2:Issuing_x0020_Department" minOccurs="0"/>
                <xsd:element ref="ns2:Document_x0020_Owner" minOccurs="0"/>
                <xsd:element ref="ns2:Document_x0020_Approver" minOccurs="0"/>
                <xsd:element ref="ns2:Document_x0020_Publisher" minOccurs="0"/>
                <xsd:element ref="ns2:Published_x0020_Version" minOccurs="0"/>
                <xsd:element ref="ns2:Committee_x0020_Approval_x0020_Date" minOccurs="0"/>
                <xsd:element ref="ns2:Next_x0020_Review_x0020_Due" minOccurs="0"/>
                <xsd:element ref="ns2:CM_x0020_Reference" minOccurs="0"/>
                <xsd:element ref="ns2:Comment1" minOccurs="0"/>
                <xsd:element ref="ns2:file_mapping_id" minOccurs="0"/>
                <xsd:element ref="ns2:obsolete_previous" minOccurs="0"/>
                <xsd:element ref="ns2:name_previous" minOccurs="0"/>
                <xsd:element ref="ns2:Approval_Status" minOccurs="0"/>
                <xsd:element ref="ns2:approval_status_previous" minOccurs="0"/>
                <xsd:element ref="ns3:Entity" minOccurs="0"/>
                <xsd:element ref="ns3:Site" minOccurs="0"/>
                <xsd:element ref="ns3:Library" minOccurs="0"/>
                <xsd:element ref="ns3:Document_x0020_Set_x0020_Status" minOccurs="0"/>
                <xsd:element ref="ns4:MediaServiceMetadata" minOccurs="0"/>
                <xsd:element ref="ns4:MediaServiceFastMetadata" minOccurs="0"/>
                <xsd:element ref="ns4:MediaServiceAutoKeyPoints" minOccurs="0"/>
                <xsd:element ref="ns4:MediaServiceKeyPoints" minOccurs="0"/>
                <xsd:element ref="ns2:_dlc_DocId" minOccurs="0"/>
                <xsd:element ref="ns2:_dlc_DocIdUrl" minOccurs="0"/>
                <xsd:element ref="ns2:_dlc_DocIdPersistId" minOccurs="0"/>
                <xsd:element ref="ns5:SharedWithUsers" minOccurs="0"/>
                <xsd:element ref="ns5:SharedWithDetail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04d3c-143d-44b1-9de7-bd4bbc3b5a14" elementFormDefault="qualified">
    <xsd:import namespace="http://schemas.microsoft.com/office/2006/documentManagement/types"/>
    <xsd:import namespace="http://schemas.microsoft.com/office/infopath/2007/PartnerControls"/>
    <xsd:element name="Obsolete" ma:index="1" nillable="true" ma:displayName="Obsolete" ma:default="0" ma:internalName="Obsolete">
      <xsd:simpleType>
        <xsd:restriction base="dms:Boolean"/>
      </xsd:simpleType>
    </xsd:element>
    <xsd:element name="Document_x0020_Type" ma:index="2" nillable="true" ma:displayName="Document Type" ma:format="Dropdown" ma:internalName="Document_x0020_Type">
      <xsd:simpleType>
        <xsd:restriction base="dms:Choice">
          <xsd:enumeration value="Form"/>
          <xsd:enumeration value="Policy"/>
          <xsd:enumeration value="Procedure"/>
          <xsd:enumeration value="Reference"/>
          <xsd:enumeration value="Template"/>
        </xsd:restriction>
      </xsd:simpleType>
    </xsd:element>
    <xsd:element name="Issuing_x0020_Department" ma:index="3" nillable="true" ma:displayName="Business Area" ma:format="Dropdown" ma:internalName="Issuing_x0020_Department">
      <xsd:simpleType>
        <xsd:restriction base="dms:Choice">
          <xsd:enumeration value="Aboriginal Training Services"/>
          <xsd:enumeration value="Academic Quality"/>
          <xsd:enumeration value="Client Services"/>
          <xsd:enumeration value="Curriculum Management"/>
          <xsd:enumeration value="Exec"/>
          <xsd:enumeration value="Facilities"/>
          <xsd:enumeration value="Finance"/>
          <xsd:enumeration value="Governance &amp; Performance"/>
          <xsd:enumeration value="Human Resources"/>
          <xsd:enumeration value="Industry Engagement"/>
          <xsd:enumeration value="Information Technology"/>
          <xsd:enumeration value="Marketing"/>
          <xsd:enumeration value="Organisational Support Services"/>
          <xsd:enumeration value="OSH"/>
          <xsd:enumeration value="Procurement"/>
          <xsd:enumeration value="Student Support Services"/>
          <xsd:enumeration value="Training Delivery"/>
          <xsd:enumeration value="Training Services Support"/>
        </xsd:restriction>
      </xsd:simpleType>
    </xsd:element>
    <xsd:element name="Document_x0020_Owner" ma:index="4"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er" ma:index="5" nillable="true" ma:displayName="Document Approver" ma:list="UserInfo" ma:SharePointGroup="0" ma:internalName="Docum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er" ma:index="6" nillable="true" ma:displayName="Document Publisher" ma:list="UserInfo" ma:SharePointGroup="0" ma:internalName="Document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Version" ma:index="7" nillable="true" ma:displayName="Published Version" ma:decimals="1" ma:default="0" ma:internalName="Published_x0020_Version">
      <xsd:simpleType>
        <xsd:restriction base="dms:Number"/>
      </xsd:simpleType>
    </xsd:element>
    <xsd:element name="Committee_x0020_Approval_x0020_Date" ma:index="8" nillable="true" ma:displayName="Committee Approval Date" ma:format="DateOnly" ma:internalName="Committee_x0020_Approval_x0020_Date">
      <xsd:simpleType>
        <xsd:restriction base="dms:DateTime"/>
      </xsd:simpleType>
    </xsd:element>
    <xsd:element name="Next_x0020_Review_x0020_Due" ma:index="9" nillable="true" ma:displayName="Next Review Due" ma:format="DateOnly" ma:internalName="Next_x0020_Review_x0020_Due">
      <xsd:simpleType>
        <xsd:restriction base="dms:DateTime"/>
      </xsd:simpleType>
    </xsd:element>
    <xsd:element name="CM_x0020_Reference" ma:index="10" nillable="true" ma:displayName="CM Reference" ma:internalName="CM_x0020_Reference">
      <xsd:simpleType>
        <xsd:restriction base="dms:Text">
          <xsd:maxLength value="255"/>
        </xsd:restriction>
      </xsd:simpleType>
    </xsd:element>
    <xsd:element name="Comment1" ma:index="11" nillable="true" ma:displayName="Comment" ma:hidden="true" ma:internalName="Comment1" ma:readOnly="false">
      <xsd:simpleType>
        <xsd:restriction base="dms:Note"/>
      </xsd:simpleType>
    </xsd:element>
    <xsd:element name="file_mapping_id" ma:index="12" nillable="true" ma:displayName="file mapping id" ma:decimals="0" ma:default="0" ma:hidden="true" ma:internalName="file_mapping_id" ma:readOnly="false" ma:percentage="FALSE">
      <xsd:simpleType>
        <xsd:restriction base="dms:Number"/>
      </xsd:simpleType>
    </xsd:element>
    <xsd:element name="obsolete_previous" ma:index="13" nillable="true" ma:displayName="obsolete previous" ma:default="false" ma:hidden="true" ma:internalName="obsolete_previous" ma:readOnly="false">
      <xsd:simpleType>
        <xsd:restriction base="dms:Text">
          <xsd:maxLength value="255"/>
        </xsd:restriction>
      </xsd:simpleType>
    </xsd:element>
    <xsd:element name="name_previous" ma:index="14" nillable="true" ma:displayName="name previous" ma:hidden="true" ma:internalName="name_previous" ma:readOnly="false">
      <xsd:simpleType>
        <xsd:restriction base="dms:Text">
          <xsd:maxLength value="255"/>
        </xsd:restriction>
      </xsd:simpleType>
    </xsd:element>
    <xsd:element name="Approval_Status" ma:index="15" nillable="true" ma:displayName="Approval Status" ma:default="Draft" ma:format="Dropdown" ma:hidden="true" ma:internalName="Approval_Status" ma:readOnly="false">
      <xsd:simpleType>
        <xsd:restriction base="dms:Choice">
          <xsd:enumeration value="Draft"/>
          <xsd:enumeration value="Pending"/>
          <xsd:enumeration value="Approved"/>
          <xsd:enumeration value="Rejected"/>
        </xsd:restriction>
      </xsd:simpleType>
    </xsd:element>
    <xsd:element name="approval_status_previous" ma:index="16" nillable="true" ma:displayName="approval status previous" ma:default="Draft" ma:hidden="true" ma:internalName="approval_status_previous" ma:readOnly="false">
      <xsd:simpleType>
        <xsd:restriction base="dms:Text">
          <xsd:maxLength value="255"/>
        </xsd:restrictio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TaxCatchAll" ma:index="39" nillable="true" ma:displayName="Taxonomy Catch All Column" ma:hidden="true" ma:list="{dfbd4971-57de-4002-9619-2a867e1882d4}" ma:internalName="TaxCatchAll" ma:showField="CatchAllData" ma:web="5ae04d3c-143d-44b1-9de7-bd4bbc3b5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6bb202-e0ee-44b5-81bd-1165e74daad9" elementFormDefault="qualified">
    <xsd:import namespace="http://schemas.microsoft.com/office/2006/documentManagement/types"/>
    <xsd:import namespace="http://schemas.microsoft.com/office/infopath/2007/PartnerControls"/>
    <xsd:element name="Entity" ma:index="17" nillable="true" ma:displayName="Entity" ma:default="" ma:hidden="true" ma:internalName="Entity" ma:readOnly="false">
      <xsd:simpleType>
        <xsd:restriction base="dms:Text">
          <xsd:maxLength value="255"/>
        </xsd:restriction>
      </xsd:simpleType>
    </xsd:element>
    <xsd:element name="Site" ma:index="18" nillable="true" ma:displayName="Site" ma:default="" ma:hidden="true" ma:internalName="Site" ma:readOnly="false">
      <xsd:simpleType>
        <xsd:restriction base="dms:Text">
          <xsd:maxLength value="255"/>
        </xsd:restriction>
      </xsd:simpleType>
    </xsd:element>
    <xsd:element name="Library" ma:index="19" nillable="true" ma:displayName="Library" ma:default="" ma:hidden="true" ma:internalName="Library" ma:readOnly="false">
      <xsd:simpleType>
        <xsd:restriction base="dms:Text">
          <xsd:maxLength value="255"/>
        </xsd:restriction>
      </xsd:simpleType>
    </xsd:element>
    <xsd:element name="Document_x0020_Set_x0020_Status" ma:index="21" nillable="true" ma:displayName="Document Set Status" ma:default="" ma:format="Dropdown" ma:hidden="true" ma:internalName="Document_x0020_Set_x0020_Status" ma:readOnly="false">
      <xsd:simpleType>
        <xsd:restriction base="dms:Choice">
          <xsd:enumeration value="Active"/>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f0c92f0d-8860-4706-b3a6-a7e69cfb7c8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598972e7-4f0e-48c0-bb56-a9f22e25d3e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DateTaken" ma:index="4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cd180-403f-4607-bc28-de899269a8c2"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598972e7-4f0e-48c0-bb56-a9f22e25d3ec" ContentTypeId="0x0101000E64A23F1383D74E9A471A69050FD18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417F-158B-44DA-B11F-E61FBDEB6F41}">
  <ds:schemaRefs>
    <ds:schemaRef ds:uri="http://schemas.microsoft.com/office/2006/documentManagement/types"/>
    <ds:schemaRef ds:uri="http://schemas.openxmlformats.org/package/2006/metadata/core-properties"/>
    <ds:schemaRef ds:uri="http://purl.org/dc/terms/"/>
    <ds:schemaRef ds:uri="3f9cd180-403f-4607-bc28-de899269a8c2"/>
    <ds:schemaRef ds:uri="f76bb202-e0ee-44b5-81bd-1165e74daad9"/>
    <ds:schemaRef ds:uri="http://purl.org/dc/dcmitype/"/>
    <ds:schemaRef ds:uri="http://schemas.microsoft.com/office/infopath/2007/PartnerControls"/>
    <ds:schemaRef ds:uri="5ae04d3c-143d-44b1-9de7-bd4bbc3b5a14"/>
    <ds:schemaRef ds:uri="cd6acc73-6a89-45de-8372-44d73f979947"/>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1E815E25-2E3C-42F9-A458-9086CCE6AB16}"/>
</file>

<file path=customXml/itemProps3.xml><?xml version="1.0" encoding="utf-8"?>
<ds:datastoreItem xmlns:ds="http://schemas.openxmlformats.org/officeDocument/2006/customXml" ds:itemID="{273DD814-DDD1-4A2A-B50A-503C9C2C8A39}">
  <ds:schemaRefs>
    <ds:schemaRef ds:uri="http://schemas.microsoft.com/sharepoint/events"/>
  </ds:schemaRefs>
</ds:datastoreItem>
</file>

<file path=customXml/itemProps4.xml><?xml version="1.0" encoding="utf-8"?>
<ds:datastoreItem xmlns:ds="http://schemas.openxmlformats.org/officeDocument/2006/customXml" ds:itemID="{3A3A2559-F953-4CB4-B920-AB7A92FF2960}">
  <ds:schemaRefs>
    <ds:schemaRef ds:uri="Microsoft.SharePoint.Taxonomy.ContentTypeSync"/>
  </ds:schemaRefs>
</ds:datastoreItem>
</file>

<file path=customXml/itemProps5.xml><?xml version="1.0" encoding="utf-8"?>
<ds:datastoreItem xmlns:ds="http://schemas.openxmlformats.org/officeDocument/2006/customXml" ds:itemID="{2E3E3D5B-3001-4B1B-A03A-458BEE6851C5}">
  <ds:schemaRefs>
    <ds:schemaRef ds:uri="http://schemas.microsoft.com/sharepoint/v3/contenttype/forms"/>
  </ds:schemaRefs>
</ds:datastoreItem>
</file>

<file path=customXml/itemProps6.xml><?xml version="1.0" encoding="utf-8"?>
<ds:datastoreItem xmlns:ds="http://schemas.openxmlformats.org/officeDocument/2006/customXml" ds:itemID="{B2DE7F67-5340-4856-BF82-55C38B92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Carr</dc:creator>
  <cp:keywords/>
  <dc:description/>
  <cp:lastModifiedBy>Lee-Anne Springer</cp:lastModifiedBy>
  <cp:revision>68</cp:revision>
  <cp:lastPrinted>2020-05-03T11:24:00Z</cp:lastPrinted>
  <dcterms:created xsi:type="dcterms:W3CDTF">2024-03-06T11:29:00Z</dcterms:created>
  <dcterms:modified xsi:type="dcterms:W3CDTF">2024-12-06T07:21:00Z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0x0101000E64A23F1383D74E9A471A69050FD18B00C0143F45B2E9684AB2D20940988B7043004514CB6BF867D948B777B912758FEDA1</vt:lpwstr>
  </property>
  <property fmtid="{D5CDD505-2E9C-101B-9397-08002B2CF9AE}" pid="3" name="_dlc_DocIdItemGuid">
    <vt:lpwstr>905db261-264c-429a-a098-fe62a82932e6</vt:lpwstr>
  </property>
  <property fmtid="{D5CDD505-2E9C-101B-9397-08002B2CF9AE}" pid="4" name="Order">
    <vt:r8>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